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2"/>
          <w:szCs w:val="32"/>
        </w:rPr>
      </w:pPr>
      <w:r>
        <w:rPr>
          <w:rFonts w:hint="eastAsia" w:ascii="黑体" w:hAnsi="黑体" w:eastAsia="黑体"/>
          <w:sz w:val="32"/>
          <w:szCs w:val="32"/>
        </w:rPr>
        <w:t>附件1</w:t>
      </w:r>
    </w:p>
    <w:p>
      <w:pPr>
        <w:spacing w:line="480" w:lineRule="auto"/>
        <w:ind w:right="28"/>
        <w:rPr>
          <w:rFonts w:ascii="仿宋_GB2312" w:hAnsi="方正小标宋_GBK" w:eastAsia="仿宋_GB2312"/>
          <w:sz w:val="36"/>
          <w:szCs w:val="36"/>
        </w:rPr>
      </w:pPr>
    </w:p>
    <w:p>
      <w:pPr>
        <w:spacing w:line="480" w:lineRule="auto"/>
        <w:ind w:right="28"/>
        <w:rPr>
          <w:rFonts w:ascii="仿宋_GB2312" w:hAnsi="方正小标宋_GBK" w:eastAsia="仿宋_GB2312"/>
          <w:sz w:val="36"/>
          <w:szCs w:val="36"/>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rPr>
        <w:t>第二批国家级一流本科课程申报书</w:t>
      </w:r>
    </w:p>
    <w:p>
      <w:pPr>
        <w:spacing w:line="520" w:lineRule="exact"/>
        <w:ind w:right="26"/>
        <w:jc w:val="center"/>
        <w:rPr>
          <w:rFonts w:ascii="方正小标宋简体" w:hAnsi="黑体" w:eastAsia="方正小标宋简体"/>
          <w:sz w:val="36"/>
          <w:szCs w:val="36"/>
        </w:rPr>
      </w:pPr>
      <w:r>
        <w:rPr>
          <w:rFonts w:hint="eastAsia" w:ascii="方正小标宋简体" w:hAnsi="方正小标宋_GBK" w:eastAsia="方正小标宋简体"/>
          <w:kern w:val="0"/>
          <w:sz w:val="44"/>
          <w:szCs w:val="44"/>
        </w:rPr>
        <w:t>（线上课程）</w:t>
      </w: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w:t>
      </w:r>
      <w:r>
        <w:rPr>
          <w:rFonts w:hint="eastAsia" w:ascii="黑体" w:hAnsi="黑体" w:eastAsia="黑体"/>
          <w:sz w:val="32"/>
          <w:szCs w:val="36"/>
          <w:lang w:val="en-US" w:eastAsia="zh-CN"/>
        </w:rPr>
        <w:t>工程造价原理</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专业类代码：1201</w:t>
      </w:r>
    </w:p>
    <w:p>
      <w:pPr>
        <w:spacing w:line="600" w:lineRule="exact"/>
        <w:ind w:right="28" w:firstLine="1280" w:firstLineChars="400"/>
        <w:rPr>
          <w:rFonts w:hint="default" w:ascii="黑体" w:hAnsi="黑体" w:eastAsia="黑体"/>
          <w:sz w:val="32"/>
          <w:szCs w:val="36"/>
          <w:u w:val="single"/>
          <w:lang w:val="en-US" w:eastAsia="zh-CN"/>
        </w:rPr>
      </w:pPr>
      <w:r>
        <w:rPr>
          <w:rFonts w:hint="eastAsia" w:ascii="黑体" w:hAnsi="黑体" w:eastAsia="黑体"/>
          <w:sz w:val="32"/>
          <w:szCs w:val="36"/>
        </w:rPr>
        <w:t>课程负责人：</w:t>
      </w:r>
      <w:r>
        <w:rPr>
          <w:rFonts w:hint="eastAsia" w:ascii="黑体" w:hAnsi="黑体" w:eastAsia="黑体"/>
          <w:sz w:val="32"/>
          <w:szCs w:val="36"/>
          <w:lang w:val="en-US" w:eastAsia="zh-CN"/>
        </w:rPr>
        <w:t>杨雪</w:t>
      </w:r>
    </w:p>
    <w:p>
      <w:pPr>
        <w:spacing w:line="600" w:lineRule="exact"/>
        <w:ind w:right="28" w:firstLine="1280" w:firstLineChars="400"/>
        <w:rPr>
          <w:rFonts w:hint="default" w:ascii="黑体" w:hAnsi="黑体" w:eastAsia="黑体"/>
          <w:sz w:val="32"/>
          <w:szCs w:val="36"/>
          <w:lang w:val="en-US" w:eastAsia="zh-CN"/>
        </w:rPr>
      </w:pPr>
      <w:r>
        <w:rPr>
          <w:rFonts w:hint="eastAsia" w:ascii="黑体" w:hAnsi="黑体" w:eastAsia="黑体"/>
          <w:sz w:val="32"/>
          <w:szCs w:val="36"/>
        </w:rPr>
        <w:t>联系电话：</w:t>
      </w:r>
      <w:r>
        <w:rPr>
          <w:rFonts w:hint="eastAsia" w:ascii="黑体" w:hAnsi="黑体" w:eastAsia="黑体"/>
          <w:sz w:val="32"/>
          <w:szCs w:val="36"/>
          <w:lang w:val="en-US" w:eastAsia="zh-CN"/>
        </w:rPr>
        <w:t>15631251915</w:t>
      </w:r>
    </w:p>
    <w:p>
      <w:pPr>
        <w:spacing w:line="600" w:lineRule="exact"/>
        <w:ind w:right="28" w:firstLine="1280" w:firstLineChars="400"/>
        <w:rPr>
          <w:rFonts w:hint="default" w:ascii="仿宋_GB2312" w:hAnsi="黑体" w:eastAsia="黑体"/>
          <w:sz w:val="32"/>
          <w:szCs w:val="36"/>
          <w:u w:val="single"/>
          <w:lang w:val="en-US" w:eastAsia="zh-CN"/>
        </w:rPr>
      </w:pPr>
      <w:r>
        <w:rPr>
          <w:rFonts w:hint="eastAsia" w:ascii="黑体" w:hAnsi="黑体" w:eastAsia="黑体"/>
          <w:sz w:val="32"/>
          <w:szCs w:val="36"/>
        </w:rPr>
        <w:t>主要开课平台：</w:t>
      </w:r>
      <w:r>
        <w:rPr>
          <w:rFonts w:hint="eastAsia" w:ascii="黑体" w:hAnsi="黑体" w:eastAsia="黑体"/>
          <w:sz w:val="32"/>
          <w:szCs w:val="36"/>
          <w:lang w:val="en-US" w:eastAsia="zh-CN"/>
        </w:rPr>
        <w:t>爱课程</w:t>
      </w:r>
    </w:p>
    <w:p>
      <w:pPr>
        <w:spacing w:line="600" w:lineRule="exact"/>
        <w:ind w:right="28" w:firstLine="1280" w:firstLineChars="400"/>
        <w:rPr>
          <w:rFonts w:hint="default" w:ascii="黑体" w:hAnsi="黑体" w:eastAsia="黑体"/>
          <w:sz w:val="32"/>
          <w:szCs w:val="36"/>
          <w:u w:val="single"/>
          <w:lang w:val="en-US" w:eastAsia="zh-CN"/>
        </w:rPr>
      </w:pPr>
      <w:r>
        <w:rPr>
          <w:rFonts w:hint="eastAsia" w:ascii="黑体" w:hAnsi="黑体" w:eastAsia="黑体"/>
          <w:sz w:val="32"/>
          <w:szCs w:val="36"/>
        </w:rPr>
        <w:t>申报学校：</w:t>
      </w:r>
      <w:r>
        <w:rPr>
          <w:rFonts w:hint="eastAsia" w:ascii="黑体" w:hAnsi="黑体" w:eastAsia="黑体"/>
          <w:sz w:val="32"/>
          <w:szCs w:val="36"/>
          <w:lang w:val="en-US" w:eastAsia="zh-CN"/>
        </w:rPr>
        <w:t>保定理工学院</w:t>
      </w:r>
    </w:p>
    <w:p>
      <w:pPr>
        <w:spacing w:line="600" w:lineRule="exact"/>
        <w:ind w:right="28" w:firstLine="1280" w:firstLineChars="400"/>
        <w:rPr>
          <w:rFonts w:hint="default" w:ascii="仿宋_GB2312" w:hAnsi="黑体" w:eastAsia="黑体"/>
          <w:sz w:val="32"/>
          <w:szCs w:val="36"/>
          <w:u w:val="single"/>
          <w:lang w:val="en-US" w:eastAsia="zh-CN"/>
        </w:rPr>
      </w:pPr>
      <w:r>
        <w:rPr>
          <w:rFonts w:hint="eastAsia" w:ascii="黑体" w:hAnsi="黑体" w:eastAsia="黑体"/>
          <w:sz w:val="32"/>
          <w:szCs w:val="36"/>
        </w:rPr>
        <w:t>填表日期：</w:t>
      </w:r>
      <w:r>
        <w:rPr>
          <w:rFonts w:hint="eastAsia" w:ascii="黑体" w:hAnsi="黑体" w:eastAsia="黑体"/>
          <w:sz w:val="32"/>
          <w:szCs w:val="36"/>
          <w:lang w:val="en-US" w:eastAsia="zh-CN"/>
        </w:rPr>
        <w:t>2021年5月11日</w:t>
      </w:r>
    </w:p>
    <w:p>
      <w:pPr>
        <w:spacing w:line="600" w:lineRule="exact"/>
        <w:ind w:right="28" w:firstLine="1280" w:firstLineChars="400"/>
        <w:rPr>
          <w:rFonts w:ascii="黑体" w:hAnsi="黑体" w:eastAsia="黑体"/>
          <w:sz w:val="32"/>
          <w:szCs w:val="36"/>
        </w:rPr>
      </w:pPr>
      <w:r>
        <w:rPr>
          <w:rFonts w:ascii="黑体" w:hAnsi="黑体" w:eastAsia="黑体"/>
          <w:sz w:val="32"/>
          <w:szCs w:val="36"/>
        </w:rPr>
        <w:t>推荐</w:t>
      </w:r>
      <w:r>
        <w:rPr>
          <w:rFonts w:hint="eastAsia" w:ascii="黑体" w:hAnsi="黑体" w:eastAsia="黑体"/>
          <w:sz w:val="32"/>
          <w:szCs w:val="36"/>
        </w:rPr>
        <w:t>单位：</w:t>
      </w:r>
      <w:r>
        <w:rPr>
          <w:rFonts w:hint="eastAsia" w:ascii="黑体" w:hAnsi="黑体" w:eastAsia="黑体"/>
          <w:sz w:val="32"/>
          <w:szCs w:val="36"/>
          <w:lang w:val="en-US" w:eastAsia="zh-CN"/>
        </w:rPr>
        <w:t>保定理工学院</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napToGrid w:val="0"/>
        <w:spacing w:line="240" w:lineRule="atLeast"/>
        <w:jc w:val="center"/>
        <w:rPr>
          <w:rFonts w:ascii="黑体" w:hAnsi="黑体" w:eastAsia="黑体"/>
          <w:sz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snapToGrid w:val="0"/>
        <w:spacing w:line="240" w:lineRule="atLeast"/>
        <w:ind w:firstLine="539"/>
        <w:jc w:val="center"/>
        <w:rPr>
          <w:rFonts w:ascii="黑体" w:hAnsi="黑体" w:eastAsia="黑体"/>
          <w:sz w:val="32"/>
          <w:szCs w:val="32"/>
        </w:rPr>
      </w:pPr>
    </w:p>
    <w:p>
      <w:pPr>
        <w:snapToGrid w:val="0"/>
        <w:spacing w:line="560" w:lineRule="exact"/>
        <w:ind w:firstLine="539"/>
        <w:jc w:val="center"/>
        <w:rPr>
          <w:rFonts w:ascii="黑体" w:hAnsi="黑体" w:eastAsia="黑体"/>
          <w:sz w:val="32"/>
          <w:szCs w:val="24"/>
        </w:rPr>
        <w:sectPr>
          <w:footerReference r:id="rId3" w:type="default"/>
          <w:pgSz w:w="11906" w:h="16838"/>
          <w:pgMar w:top="1440" w:right="1800" w:bottom="1440" w:left="1800" w:header="851" w:footer="992" w:gutter="0"/>
          <w:pgNumType w:start="13"/>
          <w:cols w:space="425" w:num="1"/>
          <w:docGrid w:type="lines" w:linePitch="312" w:charSpace="0"/>
        </w:sectPr>
      </w:pPr>
    </w:p>
    <w:p>
      <w:pPr>
        <w:snapToGrid w:val="0"/>
        <w:spacing w:line="560" w:lineRule="exact"/>
        <w:jc w:val="center"/>
        <w:rPr>
          <w:rFonts w:ascii="黑体" w:hAnsi="黑体" w:eastAsia="黑体"/>
          <w:sz w:val="32"/>
          <w:szCs w:val="24"/>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pPr>
        <w:snapToGrid w:val="0"/>
        <w:spacing w:line="560" w:lineRule="exact"/>
        <w:jc w:val="center"/>
        <w:rPr>
          <w:rFonts w:ascii="黑体" w:hAnsi="黑体" w:eastAsia="黑体"/>
          <w:sz w:val="32"/>
          <w:szCs w:val="24"/>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1.专业类代码指《普通高等学校本科专业目录（2020）》中的专业类代码（四位数字）。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课程负责人一般为课程团队牵头人，也可以为以个人名义申报的主讲教师。团队主要成员一般为近5年内讲授该课程教师。申报课程名称、所有课程团队主要成员须与平台显示情况一致，课程负责人所在单位与申报课程学校一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3.开课平台是指提供面向高校和社会开放学习服务的公开课程平台。申报课程在多个平台开课的，只能选择一个主要平台申报。多个平台的有关数据可按平台分别提供“课程数据信息表”（附件3）</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4.文中○为单选；□可多选。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5.申报课程开设平台为境外平台的，在“平台首页网址”栏目一并提供国内课程平台网址。</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6.同一门课程，如因课时较长而分段在线开课并由不同负责人主持的，可多人联合申报。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7.文本中的中外文名词第一次出现时，要写清全称和缩写，再次出现时可以使用缩写。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8.具有防伪标识的申报书及申报材料由推荐单位打印留存备查，国家级评审以网络提交的电子版为准。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9.涉密课程或不能公开个人信息的涉密人员不得参与申报。</w:t>
      </w:r>
    </w:p>
    <w:p>
      <w:pPr>
        <w:rPr>
          <w:rFonts w:ascii="Times New Roman" w:hAnsi="Times New Roman" w:eastAsia="黑体" w:cs="Times New Roman"/>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3402"/>
        <w:gridCol w:w="1913"/>
        <w:gridCol w:w="17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课程名称</w:t>
            </w:r>
          </w:p>
        </w:tc>
        <w:tc>
          <w:tcPr>
            <w:tcW w:w="3402" w:type="dxa"/>
            <w:tcBorders>
              <w:right w:val="single" w:color="000000" w:sz="4" w:space="0"/>
            </w:tcBorders>
            <w:vAlign w:val="center"/>
          </w:tcPr>
          <w:p>
            <w:pP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rPr>
              <w:t>工程造价原理</w:t>
            </w:r>
          </w:p>
        </w:tc>
        <w:tc>
          <w:tcPr>
            <w:tcW w:w="1913" w:type="dxa"/>
            <w:tcBorders>
              <w:lef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是否曾被推荐</w:t>
            </w:r>
          </w:p>
        </w:tc>
        <w:tc>
          <w:tcPr>
            <w:tcW w:w="1772" w:type="dxa"/>
            <w:vAlign w:val="center"/>
          </w:tcPr>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是 </w:t>
            </w:r>
            <w:r>
              <w:rPr>
                <w:rFonts w:hint="eastAsia" w:ascii="仿宋_GB2312" w:hAnsi="仿宋_GB2312" w:eastAsia="仿宋_GB2312" w:cs="仿宋_GB2312"/>
                <w:kern w:val="0"/>
                <w:sz w:val="24"/>
                <w:szCs w:val="24"/>
              </w:rPr>
              <w:t>●</w:t>
            </w:r>
            <w:r>
              <w:rPr>
                <w:rFonts w:hint="eastAsia" w:ascii="仿宋_GB2312" w:eastAsia="仿宋_GB2312" w:hAnsiTheme="majorEastAsia"/>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课程负责人</w:t>
            </w:r>
          </w:p>
        </w:tc>
        <w:tc>
          <w:tcPr>
            <w:tcW w:w="7087" w:type="dxa"/>
            <w:gridSpan w:val="3"/>
            <w:vAlign w:val="center"/>
          </w:tcPr>
          <w:p>
            <w:pPr>
              <w:rPr>
                <w:rFonts w:hint="default" w:ascii="仿宋_GB2312" w:hAnsi="黑体" w:eastAsia="仿宋_GB2312"/>
                <w:sz w:val="24"/>
                <w:szCs w:val="24"/>
                <w:lang w:val="en-US" w:eastAsia="zh-CN"/>
              </w:rPr>
            </w:pPr>
            <w:r>
              <w:rPr>
                <w:rFonts w:hint="eastAsia" w:ascii="仿宋_GB2312" w:hAnsi="黑体" w:eastAsia="仿宋_GB2312"/>
                <w:sz w:val="24"/>
                <w:szCs w:val="24"/>
                <w:lang w:val="en-US" w:eastAsia="zh-CN"/>
              </w:rPr>
              <w:t>杨雪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负责人所在单位</w:t>
            </w:r>
          </w:p>
        </w:tc>
        <w:tc>
          <w:tcPr>
            <w:tcW w:w="7087" w:type="dxa"/>
            <w:gridSpan w:val="3"/>
            <w:vAlign w:val="center"/>
          </w:tcPr>
          <w:p>
            <w:pPr>
              <w:rPr>
                <w:rFonts w:hint="default" w:ascii="仿宋_GB2312" w:eastAsia="仿宋_GB2312" w:hAnsiTheme="majorEastAsia"/>
                <w:sz w:val="24"/>
                <w:szCs w:val="24"/>
                <w:lang w:val="en-US" w:eastAsia="zh-CN"/>
              </w:rPr>
            </w:pPr>
            <w:r>
              <w:rPr>
                <w:rFonts w:hint="eastAsia" w:ascii="仿宋_GB2312" w:eastAsia="仿宋_GB2312" w:hAnsiTheme="majorEastAsia"/>
                <w:sz w:val="24"/>
                <w:szCs w:val="24"/>
                <w:lang w:val="en-US" w:eastAsia="zh-CN"/>
              </w:rPr>
              <w:t>保定理工学院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课程适用对象</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shd w:val="clear" w:color="auto" w:fill="auto"/>
              </w:rPr>
              <w:sym w:font="Wingdings 2" w:char="0052"/>
            </w:r>
            <w:r>
              <w:rPr>
                <w:rFonts w:hint="eastAsia" w:ascii="仿宋_GB2312" w:eastAsia="仿宋_GB2312" w:hAnsiTheme="majorEastAsia"/>
                <w:sz w:val="24"/>
                <w:szCs w:val="24"/>
              </w:rPr>
              <w:t xml:space="preserve">本科生 </w:t>
            </w:r>
            <w:r>
              <w:rPr>
                <w:rFonts w:hint="eastAsia" w:ascii="仿宋_GB2312" w:eastAsia="仿宋_GB2312" w:hAnsiTheme="majorEastAsia"/>
                <w:sz w:val="24"/>
                <w:szCs w:val="24"/>
                <w:shd w:val="clear" w:color="auto" w:fill="auto"/>
              </w:rPr>
              <w:sym w:font="Wingdings 2" w:char="0052"/>
            </w:r>
            <w:r>
              <w:rPr>
                <w:rFonts w:hint="eastAsia" w:ascii="仿宋_GB2312" w:eastAsia="仿宋_GB2312" w:hAnsiTheme="majorEastAsia"/>
                <w:sz w:val="24"/>
                <w:szCs w:val="24"/>
              </w:rPr>
              <w:t>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课程性质</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shd w:val="clear" w:color="auto" w:fill="auto"/>
              </w:rPr>
              <w:sym w:font="Wingdings 2" w:char="0052"/>
            </w:r>
            <w:r>
              <w:rPr>
                <w:rFonts w:hint="eastAsia" w:ascii="仿宋_GB2312" w:eastAsia="仿宋_GB2312" w:hAnsiTheme="majorEastAsia"/>
                <w:sz w:val="24"/>
                <w:szCs w:val="24"/>
              </w:rPr>
              <w:t xml:space="preserve">高校学分认定课 </w:t>
            </w:r>
            <w:r>
              <w:rPr>
                <w:rFonts w:hint="eastAsia" w:ascii="仿宋_GB2312" w:eastAsia="仿宋_GB2312" w:hAnsiTheme="majorEastAsia"/>
                <w:sz w:val="24"/>
                <w:szCs w:val="24"/>
                <w:shd w:val="clear" w:color="auto" w:fill="auto"/>
              </w:rPr>
              <w:sym w:font="Wingdings 2" w:char="0052"/>
            </w:r>
            <w:r>
              <w:rPr>
                <w:rFonts w:hint="eastAsia" w:ascii="仿宋_GB2312" w:eastAsia="仿宋_GB2312" w:hAnsiTheme="majorEastAsia"/>
                <w:sz w:val="24"/>
                <w:szCs w:val="24"/>
              </w:rPr>
              <w:t>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restart"/>
            <w:vAlign w:val="center"/>
          </w:tcPr>
          <w:p>
            <w:pPr>
              <w:rPr>
                <w:rFonts w:ascii="仿宋_GB2312" w:hAnsi="黑体" w:eastAsia="仿宋_GB2312"/>
                <w:sz w:val="24"/>
                <w:szCs w:val="24"/>
              </w:rPr>
            </w:pPr>
            <w:r>
              <w:rPr>
                <w:rFonts w:hint="eastAsia" w:ascii="仿宋_GB2312" w:hAnsi="黑体" w:eastAsia="仿宋_GB2312"/>
                <w:sz w:val="24"/>
                <w:szCs w:val="24"/>
              </w:rPr>
              <w:t>课程分类</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通识课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公共基础课 </w:t>
            </w:r>
            <w:r>
              <w:rPr>
                <w:rFonts w:hint="eastAsia" w:ascii="仿宋_GB2312" w:hAnsi="仿宋_GB2312" w:eastAsia="仿宋_GB2312" w:cs="仿宋_GB2312"/>
                <w:kern w:val="0"/>
                <w:sz w:val="24"/>
                <w:szCs w:val="24"/>
              </w:rPr>
              <w:t>●</w:t>
            </w:r>
            <w:r>
              <w:rPr>
                <w:rFonts w:hint="eastAsia" w:ascii="仿宋_GB2312" w:eastAsia="仿宋_GB2312" w:hAnsiTheme="majorEastAsia"/>
                <w:sz w:val="24"/>
                <w:szCs w:val="24"/>
              </w:rPr>
              <w:t>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仿宋_GB2312" w:hAnsi="黑体" w:eastAsia="仿宋_GB2312"/>
                <w:sz w:val="24"/>
                <w:szCs w:val="24"/>
              </w:rPr>
            </w:pP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 xml:space="preserve">□思想政治理论课 □创新创业教育课 □教师教育课 </w:t>
            </w:r>
            <w:r>
              <w:rPr>
                <w:rFonts w:hint="eastAsia" w:ascii="仿宋_GB2312" w:eastAsia="仿宋_GB2312" w:hAnsiTheme="majorEastAsia"/>
                <w:kern w:val="0"/>
                <w:sz w:val="24"/>
                <w:szCs w:val="24"/>
              </w:rPr>
              <w:t>□</w:t>
            </w:r>
            <w:r>
              <w:rPr>
                <w:rFonts w:hint="eastAsia" w:ascii="仿宋_GB2312" w:eastAsia="仿宋_GB2312" w:hAnsiTheme="majorEastAsia"/>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课程讲授语言</w:t>
            </w:r>
          </w:p>
        </w:tc>
        <w:tc>
          <w:tcPr>
            <w:tcW w:w="7087" w:type="dxa"/>
            <w:gridSpan w:val="3"/>
            <w:vAlign w:val="center"/>
          </w:tcPr>
          <w:p>
            <w:pPr>
              <w:rPr>
                <w:rFonts w:ascii="仿宋_GB2312" w:eastAsia="仿宋_GB2312" w:hAnsiTheme="majorEastAsia"/>
                <w:sz w:val="24"/>
                <w:szCs w:val="24"/>
              </w:rPr>
            </w:pPr>
            <w:r>
              <w:rPr>
                <w:rFonts w:hint="eastAsia" w:ascii="仿宋_GB2312" w:hAnsi="仿宋_GB2312" w:eastAsia="仿宋_GB2312" w:cs="仿宋_GB2312"/>
                <w:kern w:val="0"/>
                <w:sz w:val="24"/>
                <w:szCs w:val="24"/>
              </w:rPr>
              <w:t>●</w:t>
            </w:r>
            <w:r>
              <w:rPr>
                <w:rFonts w:hint="eastAsia" w:ascii="仿宋_GB2312" w:eastAsia="仿宋_GB2312" w:hAnsiTheme="majorEastAsia"/>
                <w:sz w:val="24"/>
                <w:szCs w:val="24"/>
              </w:rPr>
              <w:t>中文</w:t>
            </w:r>
          </w:p>
          <w:p>
            <w:pPr>
              <w:rPr>
                <w:rFonts w:ascii="仿宋_GB2312" w:eastAsia="仿宋_GB2312" w:hAnsiTheme="majorEastAsia"/>
                <w:sz w:val="24"/>
                <w:szCs w:val="24"/>
                <w:u w:val="single"/>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中文+外文字幕（语种）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开放程度</w:t>
            </w:r>
          </w:p>
        </w:tc>
        <w:tc>
          <w:tcPr>
            <w:tcW w:w="7087" w:type="dxa"/>
            <w:gridSpan w:val="3"/>
            <w:vAlign w:val="center"/>
          </w:tcPr>
          <w:p>
            <w:pPr>
              <w:rPr>
                <w:rFonts w:ascii="仿宋_GB2312" w:hAnsi="宋体" w:eastAsia="仿宋_GB2312" w:cs="宋体"/>
                <w:kern w:val="0"/>
                <w:sz w:val="22"/>
              </w:rPr>
            </w:pPr>
            <w:r>
              <w:rPr>
                <w:rFonts w:hint="eastAsia" w:ascii="仿宋_GB2312" w:hAnsi="仿宋_GB2312" w:eastAsia="仿宋_GB2312" w:cs="仿宋_GB2312"/>
                <w:kern w:val="0"/>
                <w:sz w:val="24"/>
                <w:szCs w:val="24"/>
              </w:rPr>
              <w:t>●</w:t>
            </w:r>
            <w:r>
              <w:rPr>
                <w:rFonts w:hint="eastAsia" w:ascii="仿宋_GB2312" w:hAnsi="宋体" w:eastAsia="仿宋_GB2312" w:cs="宋体"/>
                <w:kern w:val="0"/>
                <w:sz w:val="22"/>
              </w:rPr>
              <w:t>完全开放：自由注册，免费学习</w:t>
            </w:r>
          </w:p>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主要开课平台</w:t>
            </w:r>
          </w:p>
        </w:tc>
        <w:tc>
          <w:tcPr>
            <w:tcW w:w="7087" w:type="dxa"/>
            <w:gridSpan w:val="3"/>
            <w:vAlign w:val="center"/>
          </w:tcPr>
          <w:p>
            <w:pPr>
              <w:rPr>
                <w:rFonts w:hint="default" w:ascii="仿宋_GB2312" w:hAnsi="黑体" w:eastAsia="仿宋_GB2312"/>
                <w:sz w:val="24"/>
                <w:szCs w:val="24"/>
                <w:lang w:val="en-US" w:eastAsia="zh-CN"/>
              </w:rPr>
            </w:pPr>
            <w:r>
              <w:rPr>
                <w:rFonts w:hint="eastAsia" w:ascii="仿宋_GB2312" w:hAnsi="黑体" w:eastAsia="仿宋_GB2312"/>
                <w:sz w:val="24"/>
                <w:szCs w:val="24"/>
                <w:lang w:val="en-US" w:eastAsia="zh-CN"/>
              </w:rPr>
              <w:t>爱课程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平台首页网址</w:t>
            </w:r>
          </w:p>
        </w:tc>
        <w:tc>
          <w:tcPr>
            <w:tcW w:w="7087" w:type="dxa"/>
            <w:gridSpan w:val="3"/>
            <w:vAlign w:val="center"/>
          </w:tcPr>
          <w:p>
            <w:pPr>
              <w:rPr>
                <w:rFonts w:ascii="仿宋_GB2312" w:hAnsi="黑体" w:eastAsia="仿宋_GB2312"/>
                <w:sz w:val="24"/>
                <w:szCs w:val="24"/>
              </w:rPr>
            </w:pPr>
            <w:r>
              <w:rPr>
                <w:rFonts w:hint="eastAsia" w:ascii="仿宋_GB2312" w:hAnsi="黑体" w:eastAsia="仿宋_GB2312"/>
                <w:sz w:val="24"/>
                <w:szCs w:val="24"/>
              </w:rPr>
              <w:t>https://www.icourse163.org/</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首期上线平台及时间</w:t>
            </w:r>
          </w:p>
        </w:tc>
        <w:tc>
          <w:tcPr>
            <w:tcW w:w="7087" w:type="dxa"/>
            <w:gridSpan w:val="3"/>
            <w:vAlign w:val="center"/>
          </w:tcPr>
          <w:p>
            <w:pPr>
              <w:rPr>
                <w:rFonts w:hint="default" w:ascii="仿宋_GB2312" w:hAnsi="黑体" w:eastAsia="仿宋_GB2312"/>
                <w:sz w:val="24"/>
                <w:szCs w:val="24"/>
                <w:lang w:val="en-US" w:eastAsia="zh-CN"/>
              </w:rPr>
            </w:pPr>
            <w:r>
              <w:rPr>
                <w:rFonts w:hint="eastAsia" w:ascii="仿宋_GB2312" w:hAnsi="黑体" w:eastAsia="仿宋_GB2312"/>
                <w:color w:val="FF0000"/>
                <w:sz w:val="24"/>
                <w:szCs w:val="24"/>
                <w:lang w:val="en-US" w:eastAsia="zh-CN"/>
              </w:rPr>
              <w:t>2019年3月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课程完整开设期次及最近两期开课时间</w:t>
            </w:r>
          </w:p>
        </w:tc>
        <w:tc>
          <w:tcPr>
            <w:tcW w:w="7087" w:type="dxa"/>
            <w:gridSpan w:val="3"/>
            <w:vAlign w:val="center"/>
          </w:tcPr>
          <w:p>
            <w:pPr>
              <w:rPr>
                <w:rFonts w:hint="eastAsia" w:ascii="仿宋_GB2312" w:hAnsi="黑体" w:eastAsia="仿宋_GB2312"/>
                <w:sz w:val="24"/>
                <w:szCs w:val="24"/>
                <w:lang w:val="en-US" w:eastAsia="zh-CN"/>
              </w:rPr>
            </w:pPr>
            <w:r>
              <w:rPr>
                <w:rFonts w:hint="eastAsia" w:ascii="仿宋_GB2312" w:hAnsi="黑体" w:eastAsia="仿宋_GB2312"/>
                <w:sz w:val="24"/>
                <w:szCs w:val="24"/>
              </w:rPr>
              <w:t>完整开设</w:t>
            </w:r>
            <w:r>
              <w:rPr>
                <w:rFonts w:hint="eastAsia" w:ascii="仿宋_GB2312" w:hAnsi="黑体" w:eastAsia="仿宋_GB2312"/>
                <w:sz w:val="24"/>
                <w:szCs w:val="24"/>
                <w:lang w:val="en-US" w:eastAsia="zh-CN"/>
              </w:rPr>
              <w:t>3期</w:t>
            </w:r>
          </w:p>
          <w:p>
            <w:pP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最近两期：</w:t>
            </w:r>
            <w:r>
              <w:rPr>
                <w:rFonts w:ascii="仿宋_GB2312" w:hAnsi="仿宋_GB2312" w:eastAsia="仿宋_GB2312" w:cs="仿宋_GB2312"/>
                <w:kern w:val="0"/>
                <w:sz w:val="24"/>
                <w:szCs w:val="24"/>
              </w:rPr>
              <w:t>2019</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3</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1</w:t>
            </w:r>
            <w:r>
              <w:rPr>
                <w:rFonts w:hint="eastAsia" w:ascii="仿宋_GB2312" w:hAnsi="仿宋_GB2312" w:eastAsia="仿宋_GB2312" w:cs="仿宋_GB2312"/>
                <w:kern w:val="0"/>
                <w:sz w:val="24"/>
                <w:szCs w:val="24"/>
              </w:rPr>
              <w:t>日</w:t>
            </w:r>
            <w:r>
              <w:rPr>
                <w:rFonts w:ascii="仿宋_GB2312" w:hAnsi="仿宋_GB2312" w:eastAsia="仿宋_GB2312" w:cs="仿宋_GB2312"/>
                <w:kern w:val="0"/>
                <w:sz w:val="24"/>
                <w:szCs w:val="24"/>
              </w:rPr>
              <w:t>—2019</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5</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30</w:t>
            </w:r>
            <w:r>
              <w:rPr>
                <w:rFonts w:hint="eastAsia" w:ascii="仿宋_GB2312" w:hAnsi="仿宋_GB2312" w:eastAsia="仿宋_GB2312" w:cs="仿宋_GB2312"/>
                <w:kern w:val="0"/>
                <w:sz w:val="24"/>
                <w:szCs w:val="24"/>
              </w:rPr>
              <w:t>日</w:t>
            </w:r>
          </w:p>
          <w:p>
            <w:pPr>
              <w:ind w:firstLine="1200" w:firstLineChars="500"/>
              <w:rPr>
                <w:rFonts w:hint="eastAsia" w:ascii="仿宋_GB2312" w:hAnsi="黑体" w:eastAsia="仿宋_GB2312"/>
                <w:sz w:val="24"/>
                <w:szCs w:val="24"/>
                <w:lang w:val="en-US" w:eastAsia="zh-CN"/>
              </w:rPr>
            </w:pPr>
            <w:r>
              <w:rPr>
                <w:rFonts w:ascii="仿宋_GB2312" w:hAnsi="仿宋_GB2312" w:eastAsia="仿宋_GB2312" w:cs="仿宋_GB2312"/>
                <w:kern w:val="0"/>
                <w:sz w:val="24"/>
                <w:szCs w:val="24"/>
              </w:rPr>
              <w:t>20</w:t>
            </w:r>
            <w:r>
              <w:rPr>
                <w:rFonts w:hint="eastAsia" w:ascii="仿宋_GB2312" w:hAnsi="仿宋_GB2312" w:eastAsia="仿宋_GB2312" w:cs="仿宋_GB2312"/>
                <w:kern w:val="0"/>
                <w:sz w:val="24"/>
                <w:szCs w:val="24"/>
                <w:lang w:val="en-US" w:eastAsia="zh-CN"/>
              </w:rPr>
              <w:t>21</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9</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1</w:t>
            </w:r>
            <w:r>
              <w:rPr>
                <w:rFonts w:hint="eastAsia" w:ascii="仿宋_GB2312" w:hAnsi="仿宋_GB2312" w:eastAsia="仿宋_GB2312" w:cs="仿宋_GB2312"/>
                <w:kern w:val="0"/>
                <w:sz w:val="24"/>
                <w:szCs w:val="24"/>
              </w:rPr>
              <w:t>日</w:t>
            </w:r>
            <w:r>
              <w:rPr>
                <w:rFonts w:ascii="仿宋_GB2312" w:hAnsi="仿宋_GB2312" w:eastAsia="仿宋_GB2312" w:cs="仿宋_GB2312"/>
                <w:kern w:val="0"/>
                <w:sz w:val="24"/>
                <w:szCs w:val="24"/>
              </w:rPr>
              <w:t>—20</w:t>
            </w:r>
            <w:r>
              <w:rPr>
                <w:rFonts w:hint="eastAsia" w:ascii="仿宋_GB2312" w:hAnsi="仿宋_GB2312" w:eastAsia="仿宋_GB2312" w:cs="仿宋_GB2312"/>
                <w:kern w:val="0"/>
                <w:sz w:val="24"/>
                <w:szCs w:val="24"/>
                <w:lang w:val="en-US" w:eastAsia="zh-CN"/>
              </w:rPr>
              <w:t>21</w:t>
            </w:r>
            <w:r>
              <w:rPr>
                <w:rFonts w:hint="eastAsia" w:ascii="仿宋_GB2312" w:hAnsi="仿宋_GB2312" w:eastAsia="仿宋_GB2312" w:cs="仿宋_GB2312"/>
                <w:kern w:val="0"/>
                <w:sz w:val="24"/>
                <w:szCs w:val="24"/>
              </w:rPr>
              <w:t>年</w:t>
            </w:r>
            <w:r>
              <w:rPr>
                <w:rFonts w:ascii="仿宋_GB2312" w:hAnsi="仿宋_GB2312" w:eastAsia="仿宋_GB2312" w:cs="仿宋_GB2312"/>
                <w:kern w:val="0"/>
                <w:sz w:val="24"/>
                <w:szCs w:val="24"/>
              </w:rPr>
              <w:t>11</w:t>
            </w:r>
            <w:r>
              <w:rPr>
                <w:rFonts w:hint="eastAsia" w:ascii="仿宋_GB2312" w:hAnsi="仿宋_GB2312" w:eastAsia="仿宋_GB2312" w:cs="仿宋_GB2312"/>
                <w:kern w:val="0"/>
                <w:sz w:val="24"/>
                <w:szCs w:val="24"/>
              </w:rPr>
              <w:t>月</w:t>
            </w:r>
            <w:r>
              <w:rPr>
                <w:rFonts w:ascii="仿宋_GB2312" w:hAnsi="仿宋_GB2312" w:eastAsia="仿宋_GB2312" w:cs="仿宋_GB2312"/>
                <w:kern w:val="0"/>
                <w:sz w:val="24"/>
                <w:szCs w:val="24"/>
              </w:rPr>
              <w:t>28</w:t>
            </w:r>
            <w:r>
              <w:rPr>
                <w:rFonts w:hint="eastAsia" w:ascii="仿宋_GB2312" w:hAnsi="仿宋_GB2312" w:eastAsia="仿宋_GB2312" w:cs="仿宋_GB2312"/>
                <w:kern w:val="0"/>
                <w:sz w:val="24"/>
                <w:szCs w:val="24"/>
              </w:rPr>
              <w:t>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5" w:hRule="atLeast"/>
        </w:trPr>
        <w:tc>
          <w:tcPr>
            <w:tcW w:w="2127" w:type="dxa"/>
            <w:tcBorders>
              <w:bottom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课程链接及查看教学活动的密码等</w:t>
            </w:r>
          </w:p>
        </w:tc>
        <w:tc>
          <w:tcPr>
            <w:tcW w:w="7087" w:type="dxa"/>
            <w:gridSpan w:val="3"/>
            <w:tcBorders>
              <w:bottom w:val="single" w:color="auto" w:sz="4" w:space="0"/>
            </w:tcBorders>
            <w:vAlign w:val="center"/>
          </w:tcPr>
          <w:p>
            <w:pPr>
              <w:rPr>
                <w:sz w:val="24"/>
              </w:rPr>
            </w:pPr>
            <w:r>
              <w:rPr>
                <w:sz w:val="24"/>
              </w:rPr>
              <w:fldChar w:fldCharType="begin"/>
            </w:r>
            <w:r>
              <w:rPr>
                <w:sz w:val="24"/>
              </w:rPr>
              <w:instrText xml:space="preserve"> HYPERLINK "https://www.icourse163.org/?_trace_c_p_k2_=bb32da4436564b21ab96e6c1e96daf05#/webLoginIndex" </w:instrText>
            </w:r>
            <w:r>
              <w:rPr>
                <w:sz w:val="24"/>
              </w:rPr>
              <w:fldChar w:fldCharType="separate"/>
            </w:r>
            <w:r>
              <w:rPr>
                <w:rStyle w:val="10"/>
                <w:sz w:val="24"/>
              </w:rPr>
              <w:t>https://www.icourse163.org/?_trace_c_p_k2_=bb32da4436564b21ab96e6c1e96daf05#/webLoginIndex</w:t>
            </w:r>
            <w:r>
              <w:rPr>
                <w:sz w:val="24"/>
              </w:rPr>
              <w:fldChar w:fldCharType="end"/>
            </w:r>
          </w:p>
          <w:p>
            <w:pPr>
              <w:rPr>
                <w:rFonts w:ascii="仿宋_GB2312" w:hAnsi="黑体" w:eastAsia="仿宋_GB2312"/>
                <w:sz w:val="24"/>
                <w:szCs w:val="24"/>
              </w:rPr>
            </w:pPr>
            <w:r>
              <w:rPr>
                <w:sz w:val="24"/>
              </w:rPr>
              <w:t>（爱课程登录帐号</w:t>
            </w:r>
            <w:r>
              <w:rPr>
                <w:rFonts w:hint="eastAsia"/>
                <w:sz w:val="24"/>
              </w:rPr>
              <w:t xml:space="preserve"> ：</w:t>
            </w:r>
            <w:r>
              <w:rPr>
                <w:sz w:val="24"/>
              </w:rPr>
              <w:fldChar w:fldCharType="begin"/>
            </w:r>
            <w:r>
              <w:rPr>
                <w:sz w:val="24"/>
              </w:rPr>
              <w:instrText xml:space="preserve"> HYPERLINK "mailto:</w:instrText>
            </w:r>
            <w:r>
              <w:rPr>
                <w:rFonts w:hint="eastAsia"/>
                <w:sz w:val="24"/>
              </w:rPr>
              <w:instrText xml:space="preserve">332036269@qq.com</w:instrText>
            </w:r>
            <w:r>
              <w:rPr>
                <w:sz w:val="24"/>
              </w:rPr>
              <w:instrText xml:space="preserve">" </w:instrText>
            </w:r>
            <w:r>
              <w:rPr>
                <w:sz w:val="24"/>
              </w:rPr>
              <w:fldChar w:fldCharType="separate"/>
            </w:r>
            <w:r>
              <w:rPr>
                <w:rStyle w:val="10"/>
                <w:rFonts w:hint="eastAsia"/>
                <w:sz w:val="24"/>
              </w:rPr>
              <w:t>332036269@qq.com</w:t>
            </w:r>
            <w:r>
              <w:rPr>
                <w:sz w:val="24"/>
              </w:rPr>
              <w:fldChar w:fldCharType="end"/>
            </w:r>
            <w:r>
              <w:rPr>
                <w:rFonts w:hint="eastAsia"/>
                <w:sz w:val="24"/>
              </w:rPr>
              <w:t xml:space="preserve"> 密码：111111</w:t>
            </w:r>
            <w:r>
              <w:rPr>
                <w:sz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5"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主要教材</w:t>
            </w:r>
          </w:p>
        </w:tc>
        <w:tc>
          <w:tcPr>
            <w:tcW w:w="7087" w:type="dxa"/>
            <w:gridSpan w:val="3"/>
            <w:tcBorders>
              <w:top w:val="single" w:color="auto" w:sz="4" w:space="0"/>
            </w:tcBorders>
            <w:vAlign w:val="center"/>
          </w:tcPr>
          <w:p>
            <w:pP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rPr>
              <w:t>建筑工程造价</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val="en-US" w:eastAsia="zh-CN"/>
              </w:rPr>
              <w:t>9787560577333</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val="en-US" w:eastAsia="zh-CN"/>
              </w:rPr>
              <w:t>冯雪英，杨雪</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val="en-US" w:eastAsia="zh-CN"/>
              </w:rPr>
              <w:t>西安交通</w:t>
            </w:r>
            <w:r>
              <w:rPr>
                <w:rFonts w:hint="eastAsia" w:ascii="仿宋_GB2312" w:hAnsi="仿宋_GB2312" w:eastAsia="仿宋_GB2312" w:cs="仿宋_GB2312"/>
                <w:kern w:val="0"/>
                <w:sz w:val="24"/>
                <w:szCs w:val="24"/>
              </w:rPr>
              <w:t>大学出版社、</w:t>
            </w:r>
            <w:r>
              <w:rPr>
                <w:rFonts w:ascii="仿宋_GB2312" w:hAnsi="仿宋_GB2312" w:eastAsia="仿宋_GB2312" w:cs="仿宋_GB2312"/>
                <w:kern w:val="0"/>
                <w:sz w:val="24"/>
                <w:szCs w:val="24"/>
              </w:rPr>
              <w:t>2</w:t>
            </w:r>
            <w:r>
              <w:rPr>
                <w:rFonts w:hint="eastAsia" w:ascii="仿宋_GB2312" w:hAnsi="仿宋_GB2312" w:eastAsia="仿宋_GB2312" w:cs="仿宋_GB2312"/>
                <w:kern w:val="0"/>
                <w:sz w:val="24"/>
                <w:szCs w:val="24"/>
                <w:lang w:val="en-US" w:eastAsia="zh-CN"/>
              </w:rPr>
              <w:t>015</w:t>
            </w:r>
            <w:r>
              <w:rPr>
                <w:rFonts w:hint="eastAsia" w:ascii="仿宋_GB2312" w:hAnsi="仿宋_GB2312" w:eastAsia="仿宋_GB2312" w:cs="仿宋_GB2312"/>
                <w:kern w:val="0"/>
                <w:sz w:val="24"/>
                <w:szCs w:val="24"/>
              </w:rPr>
              <w:t>年</w:t>
            </w:r>
            <w:r>
              <w:rPr>
                <w:rFonts w:hint="eastAsia" w:ascii="仿宋_GB2312" w:hAnsi="仿宋_GB2312" w:eastAsia="仿宋_GB2312" w:cs="仿宋_GB2312"/>
                <w:kern w:val="0"/>
                <w:sz w:val="24"/>
                <w:szCs w:val="24"/>
                <w:lang w:val="en-US" w:eastAsia="zh-CN"/>
              </w:rPr>
              <w:t>8</w:t>
            </w:r>
            <w:r>
              <w:rPr>
                <w:rFonts w:hint="eastAsia" w:ascii="仿宋_GB2312" w:hAnsi="仿宋_GB2312" w:eastAsia="仿宋_GB2312" w:cs="仿宋_GB2312"/>
                <w:kern w:val="0"/>
                <w:sz w:val="24"/>
                <w:szCs w:val="24"/>
              </w:rPr>
              <w:t>月第一版</w:t>
            </w:r>
            <w:r>
              <w:rPr>
                <w:rFonts w:hint="eastAsia" w:ascii="仿宋_GB2312" w:hAnsi="仿宋_GB2312" w:eastAsia="仿宋_GB2312" w:cs="仿宋_GB2312"/>
                <w:color w:val="FF0000"/>
                <w:sz w:val="24"/>
                <w:szCs w:val="24"/>
              </w:rPr>
              <w:t>（上传封面及版权页）</w:t>
            </w:r>
          </w:p>
        </w:tc>
      </w:tr>
    </w:tbl>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20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课程名称</w:t>
            </w:r>
          </w:p>
        </w:tc>
        <w:tc>
          <w:tcPr>
            <w:tcW w:w="992"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w:t>
            </w:r>
          </w:p>
        </w:tc>
        <w:tc>
          <w:tcPr>
            <w:tcW w:w="18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负责人单位</w:t>
            </w:r>
          </w:p>
        </w:tc>
        <w:tc>
          <w:tcPr>
            <w:tcW w:w="16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课时（周）</w:t>
            </w:r>
          </w:p>
        </w:tc>
        <w:tc>
          <w:tcPr>
            <w:tcW w:w="1561"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bl>
    <w:p>
      <w:pPr>
        <w:pStyle w:val="14"/>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p>
    <w:tbl>
      <w:tblPr>
        <w:tblStyle w:val="8"/>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5"/>
        <w:gridCol w:w="890"/>
        <w:gridCol w:w="910"/>
        <w:gridCol w:w="1730"/>
        <w:gridCol w:w="770"/>
        <w:gridCol w:w="784"/>
        <w:gridCol w:w="765"/>
        <w:gridCol w:w="825"/>
        <w:gridCol w:w="960"/>
        <w:gridCol w:w="9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手机号码</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电子邮箱</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w:t>
            </w:r>
          </w:p>
          <w:p>
            <w:pPr>
              <w:jc w:val="center"/>
              <w:rPr>
                <w:rFonts w:ascii="仿宋_GB2312" w:hAnsi="黑体" w:eastAsia="仿宋_GB2312"/>
                <w:sz w:val="24"/>
                <w:szCs w:val="24"/>
              </w:rPr>
            </w:pPr>
            <w:r>
              <w:rPr>
                <w:rFonts w:hint="eastAsia" w:ascii="仿宋_GB2312" w:hAnsi="黑体" w:eastAsia="仿宋_GB2312"/>
                <w:sz w:val="24"/>
                <w:szCs w:val="24"/>
              </w:rPr>
              <w:t>任务</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890" w:type="dxa"/>
            <w:vAlign w:val="center"/>
          </w:tcPr>
          <w:p>
            <w:pPr>
              <w:spacing w:line="360" w:lineRule="exact"/>
              <w:jc w:val="center"/>
              <w:rPr>
                <w:rFonts w:hint="default" w:ascii="仿宋_GB2312" w:hAnsi="黑体" w:eastAsia="仿宋_GB2312"/>
                <w:sz w:val="24"/>
                <w:szCs w:val="24"/>
                <w:lang w:val="en-US" w:eastAsia="zh-CN"/>
              </w:rPr>
            </w:pPr>
            <w:r>
              <w:rPr>
                <w:rFonts w:hint="eastAsia" w:ascii="仿宋_GB2312" w:hAnsi="仿宋_GB2312" w:eastAsia="仿宋_GB2312" w:cs="仿宋_GB2312"/>
                <w:kern w:val="0"/>
                <w:sz w:val="24"/>
                <w:szCs w:val="24"/>
                <w:lang w:val="en-US" w:eastAsia="zh-CN"/>
              </w:rPr>
              <w:t>杨雪</w:t>
            </w:r>
          </w:p>
        </w:tc>
        <w:tc>
          <w:tcPr>
            <w:tcW w:w="910" w:type="dxa"/>
            <w:vAlign w:val="center"/>
          </w:tcPr>
          <w:p>
            <w:pPr>
              <w:spacing w:line="360" w:lineRule="exact"/>
              <w:jc w:val="center"/>
              <w:rPr>
                <w:rFonts w:ascii="仿宋_GB2312" w:hAnsi="黑体" w:eastAsia="仿宋_GB2312"/>
                <w:sz w:val="24"/>
                <w:szCs w:val="24"/>
              </w:rPr>
            </w:pPr>
            <w:r>
              <w:rPr>
                <w:rFonts w:ascii="仿宋_GB2312" w:hAnsi="仿宋_GB2312" w:eastAsia="仿宋_GB2312" w:cs="仿宋_GB2312"/>
                <w:kern w:val="0"/>
                <w:sz w:val="24"/>
                <w:szCs w:val="24"/>
              </w:rPr>
              <w:t>197</w:t>
            </w:r>
            <w:r>
              <w:rPr>
                <w:rFonts w:hint="eastAsia" w:ascii="仿宋_GB2312" w:hAnsi="仿宋_GB2312" w:eastAsia="仿宋_GB2312" w:cs="仿宋_GB2312"/>
                <w:kern w:val="0"/>
                <w:sz w:val="24"/>
                <w:szCs w:val="24"/>
                <w:lang w:val="en-US" w:eastAsia="zh-CN"/>
              </w:rPr>
              <w:t>9</w:t>
            </w:r>
            <w:r>
              <w:rPr>
                <w:rFonts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val="en-US" w:eastAsia="zh-CN"/>
              </w:rPr>
              <w:t>12</w:t>
            </w:r>
          </w:p>
        </w:tc>
        <w:tc>
          <w:tcPr>
            <w:tcW w:w="1730" w:type="dxa"/>
            <w:vAlign w:val="center"/>
          </w:tcPr>
          <w:p>
            <w:pPr>
              <w:spacing w:line="360" w:lineRule="exact"/>
              <w:jc w:val="center"/>
              <w:rPr>
                <w:rFonts w:hint="default" w:ascii="仿宋_GB2312" w:hAnsi="黑体" w:eastAsia="仿宋_GB2312"/>
                <w:sz w:val="24"/>
                <w:szCs w:val="24"/>
                <w:lang w:val="en-US" w:eastAsia="zh-CN"/>
              </w:rPr>
            </w:pPr>
            <w:r>
              <w:rPr>
                <w:rFonts w:hint="eastAsia" w:ascii="仿宋_GB2312" w:hAnsi="黑体" w:eastAsia="仿宋_GB2312"/>
                <w:sz w:val="24"/>
                <w:szCs w:val="24"/>
                <w:lang w:val="en-US" w:eastAsia="zh-CN"/>
              </w:rPr>
              <w:t>保定理工学院</w:t>
            </w:r>
          </w:p>
        </w:tc>
        <w:tc>
          <w:tcPr>
            <w:tcW w:w="770" w:type="dxa"/>
            <w:vAlign w:val="center"/>
          </w:tcPr>
          <w:p>
            <w:pPr>
              <w:spacing w:line="360" w:lineRule="exact"/>
              <w:jc w:val="center"/>
              <w:rPr>
                <w:rFonts w:ascii="仿宋_GB2312" w:hAnsi="黑体" w:eastAsia="仿宋_GB2312"/>
                <w:sz w:val="24"/>
                <w:szCs w:val="24"/>
              </w:rPr>
            </w:pPr>
            <w:r>
              <w:rPr>
                <w:rFonts w:hint="eastAsia" w:ascii="仿宋_GB2312" w:hAnsi="仿宋_GB2312" w:eastAsia="仿宋_GB2312" w:cs="仿宋_GB2312"/>
                <w:kern w:val="0"/>
                <w:sz w:val="24"/>
                <w:szCs w:val="24"/>
              </w:rPr>
              <w:t>教师</w:t>
            </w:r>
          </w:p>
        </w:tc>
        <w:tc>
          <w:tcPr>
            <w:tcW w:w="784" w:type="dxa"/>
            <w:vAlign w:val="center"/>
          </w:tcPr>
          <w:p>
            <w:pPr>
              <w:spacing w:line="360" w:lineRule="exact"/>
              <w:jc w:val="center"/>
              <w:rPr>
                <w:rFonts w:hint="default" w:ascii="仿宋_GB2312" w:hAnsi="黑体" w:eastAsia="仿宋_GB2312"/>
                <w:sz w:val="24"/>
                <w:szCs w:val="24"/>
                <w:lang w:val="en-US" w:eastAsia="zh-CN"/>
              </w:rPr>
            </w:pPr>
            <w:r>
              <w:rPr>
                <w:rFonts w:hint="eastAsia" w:ascii="仿宋_GB2312" w:hAnsi="仿宋_GB2312" w:eastAsia="仿宋_GB2312" w:cs="仿宋_GB2312"/>
                <w:kern w:val="0"/>
                <w:sz w:val="24"/>
                <w:szCs w:val="24"/>
              </w:rPr>
              <w:t>副教授</w:t>
            </w:r>
          </w:p>
        </w:tc>
        <w:tc>
          <w:tcPr>
            <w:tcW w:w="765" w:type="dxa"/>
            <w:vAlign w:val="center"/>
          </w:tcPr>
          <w:p>
            <w:pPr>
              <w:spacing w:line="360" w:lineRule="exact"/>
              <w:ind w:right="28" w:rightChars="0"/>
              <w:jc w:val="center"/>
              <w:rPr>
                <w:rFonts w:ascii="仿宋_GB2312" w:hAnsi="黑体" w:eastAsia="仿宋_GB2312"/>
                <w:sz w:val="24"/>
                <w:szCs w:val="24"/>
              </w:rPr>
            </w:pPr>
            <w:r>
              <w:rPr>
                <w:rFonts w:ascii="仿宋_GB2312" w:hAnsi="仿宋_GB2312" w:eastAsia="仿宋_GB2312" w:cs="仿宋_GB2312"/>
                <w:kern w:val="0"/>
                <w:sz w:val="24"/>
                <w:szCs w:val="24"/>
              </w:rPr>
              <w:t>1563125191</w:t>
            </w:r>
            <w:r>
              <w:rPr>
                <w:rFonts w:hint="eastAsia" w:ascii="仿宋_GB2312" w:hAnsi="仿宋_GB2312" w:eastAsia="仿宋_GB2312" w:cs="仿宋_GB2312"/>
                <w:kern w:val="0"/>
                <w:sz w:val="24"/>
                <w:szCs w:val="24"/>
                <w:lang w:val="en-US" w:eastAsia="zh-CN"/>
              </w:rPr>
              <w:t>5</w:t>
            </w:r>
          </w:p>
        </w:tc>
        <w:tc>
          <w:tcPr>
            <w:tcW w:w="825" w:type="dxa"/>
            <w:vAlign w:val="center"/>
          </w:tcPr>
          <w:p>
            <w:pPr>
              <w:spacing w:line="360" w:lineRule="exact"/>
              <w:jc w:val="cente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rPr>
              <w:t>292552468</w:t>
            </w:r>
            <w:r>
              <w:rPr>
                <w:rFonts w:ascii="仿宋_GB2312" w:hAnsi="仿宋_GB2312" w:eastAsia="仿宋_GB2312" w:cs="仿宋_GB2312"/>
                <w:kern w:val="0"/>
                <w:sz w:val="24"/>
                <w:szCs w:val="24"/>
              </w:rPr>
              <w:t>@qq.com</w:t>
            </w:r>
          </w:p>
        </w:tc>
        <w:tc>
          <w:tcPr>
            <w:tcW w:w="960" w:type="dxa"/>
            <w:vAlign w:val="center"/>
          </w:tcPr>
          <w:p>
            <w:pPr>
              <w:spacing w:line="360" w:lineRule="exact"/>
              <w:jc w:val="center"/>
              <w:rPr>
                <w:rFonts w:hint="default" w:ascii="仿宋_GB2312" w:hAnsi="黑体" w:eastAsia="仿宋_GB2312"/>
                <w:sz w:val="24"/>
                <w:szCs w:val="24"/>
                <w:lang w:val="en-US"/>
              </w:rPr>
            </w:pPr>
            <w:r>
              <w:rPr>
                <w:rFonts w:hint="eastAsia" w:ascii="仿宋_GB2312" w:hAnsi="仿宋_GB2312" w:eastAsia="仿宋_GB2312" w:cs="仿宋_GB2312"/>
                <w:kern w:val="0"/>
                <w:sz w:val="24"/>
                <w:szCs w:val="24"/>
                <w:lang w:val="en-US" w:eastAsia="zh-CN"/>
              </w:rPr>
              <w:t>主讲教师</w:t>
            </w:r>
          </w:p>
        </w:tc>
        <w:tc>
          <w:tcPr>
            <w:tcW w:w="994" w:type="dxa"/>
            <w:vAlign w:val="center"/>
          </w:tcPr>
          <w:p>
            <w:pPr>
              <w:spacing w:line="360" w:lineRule="exact"/>
              <w:jc w:val="center"/>
              <w:rPr>
                <w:rFonts w:hint="default" w:ascii="仿宋_GB2312" w:hAnsi="黑体" w:eastAsia="仿宋_GB2312"/>
                <w:sz w:val="24"/>
                <w:szCs w:val="24"/>
                <w:lang w:val="en-US" w:eastAsia="zh-CN"/>
              </w:rPr>
            </w:pPr>
            <w:r>
              <w:rPr>
                <w:rFonts w:hint="eastAsia" w:ascii="仿宋_GB2312" w:hAnsi="黑体" w:eastAsia="仿宋_GB2312"/>
                <w:sz w:val="24"/>
                <w:szCs w:val="24"/>
                <w:lang w:val="en-US" w:eastAsia="zh-CN"/>
              </w:rPr>
              <w:t>292552468@qq.com</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890" w:type="dxa"/>
            <w:vAlign w:val="center"/>
          </w:tcPr>
          <w:p>
            <w:pPr>
              <w:spacing w:line="340" w:lineRule="atLeast"/>
              <w:jc w:val="center"/>
              <w:rPr>
                <w:rFonts w:hint="default" w:ascii="仿宋_GB2312" w:hAnsi="黑体" w:eastAsia="仿宋_GB2312"/>
                <w:sz w:val="24"/>
                <w:szCs w:val="24"/>
                <w:lang w:val="en-US" w:eastAsia="zh-CN"/>
              </w:rPr>
            </w:pPr>
            <w:r>
              <w:rPr>
                <w:rFonts w:hint="eastAsia" w:ascii="仿宋_GB2312" w:hAnsi="仿宋_GB2312" w:eastAsia="仿宋_GB2312" w:cs="仿宋_GB2312"/>
                <w:kern w:val="0"/>
                <w:sz w:val="24"/>
                <w:szCs w:val="24"/>
                <w:lang w:val="en-US" w:eastAsia="zh-CN"/>
              </w:rPr>
              <w:t>冯雪英</w:t>
            </w:r>
          </w:p>
        </w:tc>
        <w:tc>
          <w:tcPr>
            <w:tcW w:w="910" w:type="dxa"/>
            <w:vAlign w:val="center"/>
          </w:tcPr>
          <w:p>
            <w:pPr>
              <w:spacing w:line="340" w:lineRule="atLeast"/>
              <w:jc w:val="center"/>
              <w:rPr>
                <w:rFonts w:ascii="仿宋_GB2312" w:hAnsi="黑体" w:eastAsia="仿宋_GB2312"/>
                <w:sz w:val="24"/>
                <w:szCs w:val="24"/>
              </w:rPr>
            </w:pPr>
            <w:r>
              <w:rPr>
                <w:rFonts w:ascii="仿宋_GB2312" w:hAnsi="仿宋_GB2312" w:eastAsia="仿宋_GB2312" w:cs="仿宋_GB2312"/>
                <w:kern w:val="0"/>
                <w:sz w:val="24"/>
                <w:szCs w:val="24"/>
              </w:rPr>
              <w:t>19</w:t>
            </w:r>
            <w:r>
              <w:rPr>
                <w:rFonts w:hint="eastAsia" w:ascii="仿宋_GB2312" w:hAnsi="仿宋_GB2312" w:eastAsia="仿宋_GB2312" w:cs="仿宋_GB2312"/>
                <w:kern w:val="0"/>
                <w:sz w:val="24"/>
                <w:szCs w:val="24"/>
                <w:lang w:val="en-US" w:eastAsia="zh-CN"/>
              </w:rPr>
              <w:t>74</w:t>
            </w:r>
            <w:r>
              <w:rPr>
                <w:rFonts w:ascii="仿宋_GB2312" w:hAnsi="仿宋_GB2312" w:eastAsia="仿宋_GB2312" w:cs="仿宋_GB2312"/>
                <w:kern w:val="0"/>
                <w:sz w:val="24"/>
                <w:szCs w:val="24"/>
              </w:rPr>
              <w:t>.1</w:t>
            </w:r>
            <w:r>
              <w:rPr>
                <w:rFonts w:hint="eastAsia" w:ascii="仿宋_GB2312" w:hAnsi="仿宋_GB2312" w:eastAsia="仿宋_GB2312" w:cs="仿宋_GB2312"/>
                <w:kern w:val="0"/>
                <w:sz w:val="24"/>
                <w:szCs w:val="24"/>
                <w:lang w:val="en-US" w:eastAsia="zh-CN"/>
              </w:rPr>
              <w:t>1</w:t>
            </w:r>
          </w:p>
        </w:tc>
        <w:tc>
          <w:tcPr>
            <w:tcW w:w="1730" w:type="dxa"/>
            <w:vAlign w:val="center"/>
          </w:tcPr>
          <w:p>
            <w:pPr>
              <w:spacing w:line="340" w:lineRule="atLeast"/>
              <w:jc w:val="center"/>
              <w:rPr>
                <w:rFonts w:ascii="仿宋_GB2312" w:hAnsi="黑体" w:eastAsia="仿宋_GB2312"/>
                <w:sz w:val="24"/>
                <w:szCs w:val="24"/>
              </w:rPr>
            </w:pPr>
            <w:r>
              <w:rPr>
                <w:rFonts w:hint="eastAsia" w:ascii="仿宋_GB2312" w:hAnsi="黑体" w:eastAsia="仿宋_GB2312"/>
                <w:sz w:val="24"/>
                <w:szCs w:val="24"/>
                <w:lang w:val="en-US" w:eastAsia="zh-CN"/>
              </w:rPr>
              <w:t>保定理工学院</w:t>
            </w:r>
          </w:p>
        </w:tc>
        <w:tc>
          <w:tcPr>
            <w:tcW w:w="770"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rPr>
              <w:t>教师</w:t>
            </w:r>
          </w:p>
        </w:tc>
        <w:tc>
          <w:tcPr>
            <w:tcW w:w="784"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rPr>
              <w:t>高级工程师</w:t>
            </w:r>
          </w:p>
        </w:tc>
        <w:tc>
          <w:tcPr>
            <w:tcW w:w="765" w:type="dxa"/>
            <w:vAlign w:val="center"/>
          </w:tcPr>
          <w:p>
            <w:pPr>
              <w:spacing w:line="360" w:lineRule="exact"/>
              <w:ind w:right="28" w:rightChars="0"/>
              <w:jc w:val="cente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rPr>
              <w:t>15631251683</w:t>
            </w:r>
          </w:p>
        </w:tc>
        <w:tc>
          <w:tcPr>
            <w:tcW w:w="825" w:type="dxa"/>
            <w:vAlign w:val="center"/>
          </w:tcPr>
          <w:p>
            <w:pPr>
              <w:spacing w:line="360" w:lineRule="exact"/>
              <w:ind w:right="28" w:rightChars="0"/>
              <w:jc w:val="center"/>
              <w:rPr>
                <w:rFonts w:ascii="仿宋_GB2312" w:hAnsi="黑体" w:eastAsia="仿宋_GB2312"/>
                <w:sz w:val="24"/>
                <w:szCs w:val="24"/>
              </w:rPr>
            </w:pPr>
            <w:r>
              <w:rPr>
                <w:rFonts w:hint="eastAsia" w:ascii="仿宋_GB2312" w:hAnsi="仿宋_GB2312" w:eastAsia="仿宋_GB2312" w:cs="仿宋_GB2312"/>
                <w:kern w:val="0"/>
                <w:sz w:val="24"/>
                <w:szCs w:val="24"/>
              </w:rPr>
              <w:t>332036269@qq.com</w:t>
            </w:r>
          </w:p>
        </w:tc>
        <w:tc>
          <w:tcPr>
            <w:tcW w:w="960" w:type="dxa"/>
            <w:vAlign w:val="center"/>
          </w:tcPr>
          <w:p>
            <w:pPr>
              <w:spacing w:line="340" w:lineRule="atLeast"/>
              <w:jc w:val="center"/>
              <w:rPr>
                <w:rFonts w:hint="default" w:ascii="仿宋_GB2312" w:hAnsi="黑体" w:eastAsia="仿宋_GB2312"/>
                <w:sz w:val="24"/>
                <w:szCs w:val="24"/>
                <w:lang w:val="en-US"/>
              </w:rPr>
            </w:pPr>
            <w:r>
              <w:rPr>
                <w:rFonts w:hint="eastAsia" w:ascii="仿宋_GB2312" w:hAnsi="仿宋_GB2312" w:eastAsia="仿宋_GB2312" w:cs="仿宋_GB2312"/>
                <w:kern w:val="0"/>
                <w:sz w:val="24"/>
                <w:szCs w:val="24"/>
                <w:lang w:val="en-US" w:eastAsia="zh-CN"/>
              </w:rPr>
              <w:t>主讲教师</w:t>
            </w:r>
          </w:p>
        </w:tc>
        <w:tc>
          <w:tcPr>
            <w:tcW w:w="994" w:type="dxa"/>
            <w:vAlign w:val="center"/>
          </w:tcPr>
          <w:p>
            <w:pPr>
              <w:spacing w:line="340" w:lineRule="atLeast"/>
              <w:jc w:val="center"/>
              <w:rPr>
                <w:rFonts w:ascii="仿宋_GB2312" w:hAnsi="黑体" w:eastAsia="仿宋_GB2312"/>
                <w:sz w:val="24"/>
                <w:szCs w:val="24"/>
              </w:rPr>
            </w:pPr>
            <w:r>
              <w:rPr>
                <w:sz w:val="24"/>
              </w:rPr>
              <w:fldChar w:fldCharType="begin"/>
            </w:r>
            <w:r>
              <w:rPr>
                <w:sz w:val="24"/>
              </w:rPr>
              <w:instrText xml:space="preserve"> HYPERLINK "mailto:</w:instrText>
            </w:r>
            <w:r>
              <w:rPr>
                <w:rFonts w:hint="eastAsia"/>
                <w:sz w:val="24"/>
              </w:rPr>
              <w:instrText xml:space="preserve">332036269@qq.com</w:instrText>
            </w:r>
            <w:r>
              <w:rPr>
                <w:sz w:val="24"/>
              </w:rPr>
              <w:instrText xml:space="preserve">" </w:instrText>
            </w:r>
            <w:r>
              <w:rPr>
                <w:sz w:val="24"/>
              </w:rPr>
              <w:fldChar w:fldCharType="separate"/>
            </w:r>
            <w:r>
              <w:rPr>
                <w:rStyle w:val="10"/>
                <w:rFonts w:hint="eastAsia"/>
                <w:sz w:val="24"/>
              </w:rPr>
              <w:t>332036269@qq.com</w:t>
            </w:r>
            <w:r>
              <w:rPr>
                <w:sz w:val="24"/>
              </w:rPr>
              <w:fldChar w:fldCharType="end"/>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890"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rPr>
              <w:t>赵兰敏</w:t>
            </w:r>
          </w:p>
        </w:tc>
        <w:tc>
          <w:tcPr>
            <w:tcW w:w="910"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rPr>
              <w:t>1980.6</w:t>
            </w:r>
          </w:p>
        </w:tc>
        <w:tc>
          <w:tcPr>
            <w:tcW w:w="1730" w:type="dxa"/>
            <w:vAlign w:val="center"/>
          </w:tcPr>
          <w:p>
            <w:pPr>
              <w:spacing w:line="340" w:lineRule="atLeast"/>
              <w:jc w:val="center"/>
              <w:rPr>
                <w:rFonts w:ascii="仿宋_GB2312" w:hAnsi="黑体" w:eastAsia="仿宋_GB2312"/>
                <w:sz w:val="24"/>
                <w:szCs w:val="24"/>
              </w:rPr>
            </w:pPr>
            <w:r>
              <w:rPr>
                <w:rFonts w:hint="eastAsia" w:ascii="仿宋_GB2312" w:hAnsi="黑体" w:eastAsia="仿宋_GB2312"/>
                <w:sz w:val="24"/>
                <w:szCs w:val="24"/>
                <w:lang w:val="en-US" w:eastAsia="zh-CN"/>
              </w:rPr>
              <w:t>保定理工学院</w:t>
            </w:r>
          </w:p>
        </w:tc>
        <w:tc>
          <w:tcPr>
            <w:tcW w:w="770"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rPr>
              <w:t>教师</w:t>
            </w:r>
          </w:p>
        </w:tc>
        <w:tc>
          <w:tcPr>
            <w:tcW w:w="784"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rPr>
              <w:t>讲师</w:t>
            </w:r>
          </w:p>
        </w:tc>
        <w:tc>
          <w:tcPr>
            <w:tcW w:w="765"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rPr>
              <w:t>15631251786</w:t>
            </w:r>
          </w:p>
        </w:tc>
        <w:tc>
          <w:tcPr>
            <w:tcW w:w="825"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rPr>
              <w:t>28525390@qq.com</w:t>
            </w:r>
          </w:p>
        </w:tc>
        <w:tc>
          <w:tcPr>
            <w:tcW w:w="960" w:type="dxa"/>
            <w:vAlign w:val="center"/>
          </w:tcPr>
          <w:p>
            <w:pPr>
              <w:spacing w:line="340" w:lineRule="atLeast"/>
              <w:jc w:val="center"/>
              <w:rPr>
                <w:rFonts w:hint="default" w:ascii="仿宋_GB2312" w:hAnsi="黑体" w:eastAsia="仿宋_GB2312"/>
                <w:sz w:val="24"/>
                <w:szCs w:val="24"/>
                <w:lang w:val="en-US"/>
              </w:rPr>
            </w:pPr>
            <w:r>
              <w:rPr>
                <w:rFonts w:hint="eastAsia" w:ascii="仿宋_GB2312" w:hAnsi="仿宋_GB2312" w:eastAsia="仿宋_GB2312" w:cs="仿宋_GB2312"/>
                <w:kern w:val="0"/>
                <w:sz w:val="24"/>
                <w:szCs w:val="24"/>
                <w:lang w:val="en-US" w:eastAsia="zh-CN"/>
              </w:rPr>
              <w:t>主讲教师</w:t>
            </w:r>
          </w:p>
        </w:tc>
        <w:tc>
          <w:tcPr>
            <w:tcW w:w="994" w:type="dxa"/>
            <w:vAlign w:val="center"/>
          </w:tcPr>
          <w:p>
            <w:pPr>
              <w:spacing w:line="340" w:lineRule="atLeast"/>
              <w:jc w:val="center"/>
              <w:rPr>
                <w:rFonts w:hint="default" w:ascii="仿宋_GB2312" w:hAnsi="黑体" w:eastAsia="仿宋_GB2312"/>
                <w:sz w:val="24"/>
                <w:szCs w:val="24"/>
                <w:lang w:val="en-US"/>
              </w:rPr>
            </w:pPr>
            <w:r>
              <w:rPr>
                <w:rFonts w:hint="eastAsia" w:ascii="仿宋_GB2312" w:hAnsi="仿宋_GB2312" w:eastAsia="仿宋_GB2312" w:cs="仿宋_GB2312"/>
                <w:kern w:val="0"/>
                <w:sz w:val="24"/>
                <w:szCs w:val="24"/>
                <w:lang w:val="en-US" w:eastAsia="zh-CN"/>
              </w:rPr>
              <w:t>285253901@qq.com</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890"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bidi="ar-SA"/>
              </w:rPr>
              <w:t xml:space="preserve">孙文君 </w:t>
            </w:r>
          </w:p>
        </w:tc>
        <w:tc>
          <w:tcPr>
            <w:tcW w:w="910"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bidi="ar-SA"/>
              </w:rPr>
              <w:t>1989.3</w:t>
            </w:r>
          </w:p>
        </w:tc>
        <w:tc>
          <w:tcPr>
            <w:tcW w:w="1730" w:type="dxa"/>
            <w:vAlign w:val="center"/>
          </w:tcPr>
          <w:p>
            <w:pPr>
              <w:spacing w:line="340" w:lineRule="atLeast"/>
              <w:jc w:val="center"/>
              <w:rPr>
                <w:rFonts w:ascii="仿宋_GB2312" w:hAnsi="黑体" w:eastAsia="仿宋_GB2312"/>
                <w:sz w:val="24"/>
                <w:szCs w:val="24"/>
              </w:rPr>
            </w:pPr>
            <w:r>
              <w:rPr>
                <w:rFonts w:hint="eastAsia" w:ascii="仿宋_GB2312" w:hAnsi="黑体" w:eastAsia="仿宋_GB2312"/>
                <w:sz w:val="24"/>
                <w:szCs w:val="24"/>
                <w:lang w:val="en-US" w:eastAsia="zh-CN"/>
              </w:rPr>
              <w:t>保定理工学院</w:t>
            </w:r>
          </w:p>
        </w:tc>
        <w:tc>
          <w:tcPr>
            <w:tcW w:w="770"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rPr>
              <w:t>教师</w:t>
            </w:r>
          </w:p>
        </w:tc>
        <w:tc>
          <w:tcPr>
            <w:tcW w:w="784"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rPr>
              <w:t>讲师</w:t>
            </w:r>
          </w:p>
        </w:tc>
        <w:tc>
          <w:tcPr>
            <w:tcW w:w="765"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bidi="ar-SA"/>
              </w:rPr>
              <w:t>18331049050</w:t>
            </w:r>
          </w:p>
        </w:tc>
        <w:tc>
          <w:tcPr>
            <w:tcW w:w="825"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bidi="ar-SA"/>
              </w:rPr>
              <w:t>616786679@qq.com</w:t>
            </w:r>
          </w:p>
        </w:tc>
        <w:tc>
          <w:tcPr>
            <w:tcW w:w="960" w:type="dxa"/>
            <w:vAlign w:val="center"/>
          </w:tcPr>
          <w:p>
            <w:pPr>
              <w:spacing w:line="340" w:lineRule="atLeast"/>
              <w:jc w:val="center"/>
              <w:rPr>
                <w:rFonts w:hint="default" w:ascii="仿宋_GB2312" w:hAnsi="黑体" w:eastAsia="仿宋_GB2312"/>
                <w:sz w:val="24"/>
                <w:szCs w:val="24"/>
                <w:lang w:val="en-US" w:eastAsia="zh-CN"/>
              </w:rPr>
            </w:pPr>
            <w:r>
              <w:rPr>
                <w:rFonts w:hint="eastAsia" w:ascii="仿宋_GB2312" w:hAnsi="黑体" w:eastAsia="仿宋_GB2312"/>
                <w:sz w:val="24"/>
                <w:szCs w:val="24"/>
                <w:lang w:val="en-US" w:eastAsia="zh-CN"/>
              </w:rPr>
              <w:t>辅助教师</w:t>
            </w:r>
          </w:p>
        </w:tc>
        <w:tc>
          <w:tcPr>
            <w:tcW w:w="994"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bidi="ar-SA"/>
              </w:rPr>
              <w:t xml:space="preserve">616786679@qq.com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890"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rPr>
              <w:t>李琴</w:t>
            </w:r>
          </w:p>
        </w:tc>
        <w:tc>
          <w:tcPr>
            <w:tcW w:w="910"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bidi="ar-SA"/>
              </w:rPr>
              <w:t>1988.7</w:t>
            </w:r>
          </w:p>
        </w:tc>
        <w:tc>
          <w:tcPr>
            <w:tcW w:w="1730" w:type="dxa"/>
            <w:vAlign w:val="center"/>
          </w:tcPr>
          <w:p>
            <w:pPr>
              <w:spacing w:line="340" w:lineRule="atLeast"/>
              <w:jc w:val="center"/>
              <w:rPr>
                <w:rFonts w:ascii="仿宋_GB2312" w:hAnsi="黑体" w:eastAsia="仿宋_GB2312"/>
                <w:sz w:val="24"/>
                <w:szCs w:val="24"/>
              </w:rPr>
            </w:pPr>
            <w:r>
              <w:rPr>
                <w:rFonts w:hint="eastAsia" w:ascii="仿宋_GB2312" w:hAnsi="黑体" w:eastAsia="仿宋_GB2312"/>
                <w:sz w:val="24"/>
                <w:szCs w:val="24"/>
                <w:lang w:val="en-US" w:eastAsia="zh-CN"/>
              </w:rPr>
              <w:t>保定理工学院</w:t>
            </w:r>
          </w:p>
        </w:tc>
        <w:tc>
          <w:tcPr>
            <w:tcW w:w="770"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rPr>
              <w:t>教师</w:t>
            </w:r>
          </w:p>
        </w:tc>
        <w:tc>
          <w:tcPr>
            <w:tcW w:w="784"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rPr>
              <w:t>讲师</w:t>
            </w:r>
          </w:p>
        </w:tc>
        <w:tc>
          <w:tcPr>
            <w:tcW w:w="765"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bidi="ar-SA"/>
              </w:rPr>
              <w:t>13722254627</w:t>
            </w:r>
          </w:p>
        </w:tc>
        <w:tc>
          <w:tcPr>
            <w:tcW w:w="825" w:type="dxa"/>
            <w:vAlign w:val="center"/>
          </w:tcPr>
          <w:p>
            <w:pPr>
              <w:spacing w:line="340" w:lineRule="atLeast"/>
              <w:jc w:val="center"/>
              <w:rPr>
                <w:rFonts w:ascii="仿宋_GB2312" w:hAnsi="黑体" w:eastAsia="仿宋_GB2312"/>
                <w:sz w:val="24"/>
                <w:szCs w:val="24"/>
              </w:rPr>
            </w:pPr>
            <w:r>
              <w:rPr>
                <w:rFonts w:hint="eastAsia" w:ascii="仿宋_GB2312" w:hAnsi="仿宋_GB2312" w:eastAsia="仿宋_GB2312" w:cs="仿宋_GB2312"/>
                <w:kern w:val="0"/>
                <w:sz w:val="24"/>
                <w:szCs w:val="24"/>
                <w:lang w:val="en-US" w:eastAsia="zh-CN" w:bidi="ar-SA"/>
              </w:rPr>
              <w:t>247772489@qq.com</w:t>
            </w:r>
          </w:p>
        </w:tc>
        <w:tc>
          <w:tcPr>
            <w:tcW w:w="960" w:type="dxa"/>
            <w:vAlign w:val="center"/>
          </w:tcPr>
          <w:p>
            <w:pPr>
              <w:spacing w:line="340" w:lineRule="atLeast"/>
              <w:jc w:val="center"/>
              <w:rPr>
                <w:rFonts w:ascii="仿宋_GB2312" w:hAnsi="黑体" w:eastAsia="仿宋_GB2312"/>
                <w:sz w:val="24"/>
                <w:szCs w:val="24"/>
              </w:rPr>
            </w:pPr>
            <w:r>
              <w:rPr>
                <w:rFonts w:hint="eastAsia" w:ascii="仿宋_GB2312" w:hAnsi="黑体" w:eastAsia="仿宋_GB2312"/>
                <w:sz w:val="24"/>
                <w:szCs w:val="24"/>
                <w:lang w:val="en-US" w:eastAsia="zh-CN"/>
              </w:rPr>
              <w:t>辅助教师</w:t>
            </w:r>
          </w:p>
        </w:tc>
        <w:tc>
          <w:tcPr>
            <w:tcW w:w="994" w:type="dxa"/>
            <w:vAlign w:val="center"/>
          </w:tcPr>
          <w:p>
            <w:pPr>
              <w:spacing w:line="340" w:lineRule="atLeast"/>
              <w:jc w:val="center"/>
              <w:rPr>
                <w:rFonts w:hint="default" w:ascii="仿宋_GB2312" w:hAnsi="黑体" w:eastAsia="仿宋_GB2312"/>
                <w:sz w:val="24"/>
                <w:szCs w:val="24"/>
                <w:lang w:val="en-US"/>
              </w:rPr>
            </w:pPr>
            <w:r>
              <w:rPr>
                <w:rFonts w:hint="eastAsia" w:ascii="仿宋_GB2312" w:hAnsi="仿宋_GB2312" w:eastAsia="仿宋_GB2312" w:cs="仿宋_GB2312"/>
                <w:kern w:val="0"/>
                <w:sz w:val="24"/>
                <w:szCs w:val="24"/>
                <w:lang w:val="en-US" w:eastAsia="zh-CN"/>
              </w:rPr>
              <w:t>247772489@qq.com</w:t>
            </w:r>
          </w:p>
        </w:tc>
      </w:tr>
    </w:tbl>
    <w:p>
      <w:pPr>
        <w:rPr>
          <w:rFonts w:ascii="仿宋_GB2312" w:eastAsia="仿宋_GB2312"/>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215"/>
        <w:gridCol w:w="1571"/>
        <w:gridCol w:w="743"/>
        <w:gridCol w:w="800"/>
        <w:gridCol w:w="1428"/>
        <w:gridCol w:w="14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214" w:type="dxa"/>
            <w:gridSpan w:val="8"/>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1078"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121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571"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80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1428"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承担任务</w:t>
            </w:r>
          </w:p>
        </w:tc>
        <w:tc>
          <w:tcPr>
            <w:tcW w:w="1472"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1078" w:type="dxa"/>
            <w:vAlign w:val="center"/>
          </w:tcPr>
          <w:p>
            <w:pPr>
              <w:spacing w:line="340" w:lineRule="atLeast"/>
              <w:jc w:val="left"/>
              <w:rPr>
                <w:rFonts w:hint="default"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于松波</w:t>
            </w:r>
          </w:p>
        </w:tc>
        <w:tc>
          <w:tcPr>
            <w:tcW w:w="1215" w:type="dxa"/>
            <w:vAlign w:val="center"/>
          </w:tcPr>
          <w:p>
            <w:pPr>
              <w:spacing w:line="340" w:lineRule="atLeast"/>
              <w:jc w:val="left"/>
              <w:rPr>
                <w:rFonts w:hint="default"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1982.01</w:t>
            </w:r>
          </w:p>
        </w:tc>
        <w:tc>
          <w:tcPr>
            <w:tcW w:w="1571" w:type="dxa"/>
            <w:vAlign w:val="center"/>
          </w:tcPr>
          <w:p>
            <w:pPr>
              <w:spacing w:line="340" w:lineRule="atLeast"/>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保定理工学院</w:t>
            </w:r>
          </w:p>
        </w:tc>
        <w:tc>
          <w:tcPr>
            <w:tcW w:w="743" w:type="dxa"/>
            <w:vAlign w:val="center"/>
          </w:tcPr>
          <w:p>
            <w:pPr>
              <w:spacing w:line="340" w:lineRule="atLeast"/>
              <w:jc w:val="left"/>
              <w:rPr>
                <w:rFonts w:hint="default"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保定理工学院校长</w:t>
            </w:r>
          </w:p>
        </w:tc>
        <w:tc>
          <w:tcPr>
            <w:tcW w:w="800" w:type="dxa"/>
            <w:vAlign w:val="center"/>
          </w:tcPr>
          <w:p>
            <w:pPr>
              <w:spacing w:line="340" w:lineRule="atLeast"/>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副教授</w:t>
            </w:r>
          </w:p>
        </w:tc>
        <w:tc>
          <w:tcPr>
            <w:tcW w:w="1428" w:type="dxa"/>
            <w:vAlign w:val="center"/>
          </w:tcPr>
          <w:p>
            <w:pPr>
              <w:spacing w:line="340" w:lineRule="atLeast"/>
              <w:jc w:val="left"/>
              <w:rPr>
                <w:rFonts w:hint="default"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技术支持、教学管理</w:t>
            </w:r>
          </w:p>
        </w:tc>
        <w:tc>
          <w:tcPr>
            <w:tcW w:w="1472" w:type="dxa"/>
            <w:vAlign w:val="center"/>
          </w:tcPr>
          <w:p>
            <w:pPr>
              <w:spacing w:line="340" w:lineRule="atLeast"/>
              <w:jc w:val="left"/>
              <w:rPr>
                <w:rFonts w:hint="default" w:ascii="仿宋_GB2312" w:hAnsi="黑体" w:eastAsia="仿宋_GB2312" w:cstheme="minorBidi"/>
                <w:kern w:val="2"/>
                <w:sz w:val="24"/>
                <w:szCs w:val="24"/>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1078" w:type="dxa"/>
            <w:vAlign w:val="center"/>
          </w:tcPr>
          <w:p>
            <w:pPr>
              <w:spacing w:line="340" w:lineRule="atLeast"/>
              <w:jc w:val="left"/>
              <w:rPr>
                <w:rFonts w:hint="default"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李建勋</w:t>
            </w:r>
          </w:p>
        </w:tc>
        <w:tc>
          <w:tcPr>
            <w:tcW w:w="1215" w:type="dxa"/>
            <w:vAlign w:val="center"/>
          </w:tcPr>
          <w:p>
            <w:pPr>
              <w:spacing w:line="340" w:lineRule="atLeast"/>
              <w:jc w:val="left"/>
              <w:rPr>
                <w:rFonts w:hint="default"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1977.12</w:t>
            </w:r>
          </w:p>
        </w:tc>
        <w:tc>
          <w:tcPr>
            <w:tcW w:w="1571" w:type="dxa"/>
            <w:vAlign w:val="center"/>
          </w:tcPr>
          <w:p>
            <w:pPr>
              <w:spacing w:line="340" w:lineRule="atLeast"/>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保定理工学院</w:t>
            </w:r>
          </w:p>
        </w:tc>
        <w:tc>
          <w:tcPr>
            <w:tcW w:w="743" w:type="dxa"/>
            <w:vAlign w:val="center"/>
          </w:tcPr>
          <w:p>
            <w:pPr>
              <w:spacing w:line="340" w:lineRule="atLeast"/>
              <w:jc w:val="left"/>
              <w:rPr>
                <w:rFonts w:hint="default" w:ascii="仿宋_GB2312" w:hAnsi="黑体" w:eastAsia="仿宋_GB2312" w:cstheme="minorBidi"/>
                <w:kern w:val="2"/>
                <w:sz w:val="24"/>
                <w:szCs w:val="24"/>
                <w:lang w:val="en-US" w:eastAsia="zh-CN" w:bidi="ar-SA"/>
              </w:rPr>
            </w:pPr>
          </w:p>
        </w:tc>
        <w:tc>
          <w:tcPr>
            <w:tcW w:w="800" w:type="dxa"/>
            <w:vAlign w:val="center"/>
          </w:tcPr>
          <w:p>
            <w:pPr>
              <w:spacing w:line="340" w:lineRule="atLeast"/>
              <w:jc w:val="left"/>
              <w:rPr>
                <w:rFonts w:hint="default"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正高级工程师</w:t>
            </w:r>
          </w:p>
        </w:tc>
        <w:tc>
          <w:tcPr>
            <w:tcW w:w="1428" w:type="dxa"/>
            <w:vAlign w:val="center"/>
          </w:tcPr>
          <w:p>
            <w:pPr>
              <w:spacing w:line="340" w:lineRule="atLeast"/>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技术支持、教学管理</w:t>
            </w:r>
          </w:p>
        </w:tc>
        <w:tc>
          <w:tcPr>
            <w:tcW w:w="1472" w:type="dxa"/>
            <w:vAlign w:val="center"/>
          </w:tcPr>
          <w:p>
            <w:pPr>
              <w:tabs>
                <w:tab w:val="left" w:pos="2219"/>
              </w:tabs>
              <w:suppressAutoHyphens/>
              <w:ind w:right="-123" w:rightChars="0"/>
              <w:jc w:val="left"/>
              <w:rPr>
                <w:rFonts w:hint="eastAsia" w:ascii="黑体" w:hAnsi="黑体" w:eastAsia="黑体" w:cstheme="minorBidi"/>
                <w:bCs/>
                <w:kern w:val="2"/>
                <w:sz w:val="24"/>
                <w:szCs w:val="22"/>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1078" w:type="dxa"/>
            <w:vAlign w:val="center"/>
          </w:tcPr>
          <w:p>
            <w:pPr>
              <w:spacing w:line="340" w:lineRule="atLeast"/>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田志远</w:t>
            </w:r>
          </w:p>
        </w:tc>
        <w:tc>
          <w:tcPr>
            <w:tcW w:w="1215" w:type="dxa"/>
            <w:vAlign w:val="center"/>
          </w:tcPr>
          <w:p>
            <w:pPr>
              <w:spacing w:line="340" w:lineRule="atLeast"/>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1983.05</w:t>
            </w:r>
          </w:p>
        </w:tc>
        <w:tc>
          <w:tcPr>
            <w:tcW w:w="1571" w:type="dxa"/>
            <w:vAlign w:val="center"/>
          </w:tcPr>
          <w:p>
            <w:pPr>
              <w:spacing w:line="340" w:lineRule="atLeast"/>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保定理工学院</w:t>
            </w:r>
          </w:p>
        </w:tc>
        <w:tc>
          <w:tcPr>
            <w:tcW w:w="743" w:type="dxa"/>
            <w:vAlign w:val="center"/>
          </w:tcPr>
          <w:p>
            <w:pPr>
              <w:spacing w:line="340" w:lineRule="atLeast"/>
              <w:jc w:val="left"/>
              <w:rPr>
                <w:rFonts w:hint="default" w:ascii="仿宋_GB2312" w:hAnsi="黑体" w:eastAsia="仿宋_GB2312" w:cstheme="minorBidi"/>
                <w:kern w:val="2"/>
                <w:sz w:val="24"/>
                <w:szCs w:val="24"/>
                <w:lang w:val="en-US" w:eastAsia="zh-CN" w:bidi="ar-SA"/>
              </w:rPr>
            </w:pPr>
          </w:p>
        </w:tc>
        <w:tc>
          <w:tcPr>
            <w:tcW w:w="800" w:type="dxa"/>
            <w:vAlign w:val="center"/>
          </w:tcPr>
          <w:p>
            <w:pPr>
              <w:spacing w:line="340" w:lineRule="atLeast"/>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讲师</w:t>
            </w:r>
          </w:p>
        </w:tc>
        <w:tc>
          <w:tcPr>
            <w:tcW w:w="1428" w:type="dxa"/>
            <w:vAlign w:val="center"/>
          </w:tcPr>
          <w:p>
            <w:pPr>
              <w:spacing w:line="340" w:lineRule="atLeast"/>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技术支持、教学管理</w:t>
            </w:r>
          </w:p>
        </w:tc>
        <w:tc>
          <w:tcPr>
            <w:tcW w:w="1472" w:type="dxa"/>
            <w:vAlign w:val="center"/>
          </w:tcPr>
          <w:p>
            <w:pPr>
              <w:tabs>
                <w:tab w:val="left" w:pos="2219"/>
              </w:tabs>
              <w:suppressAutoHyphens/>
              <w:ind w:right="-123" w:rightChars="0"/>
              <w:jc w:val="left"/>
              <w:rPr>
                <w:rFonts w:hint="eastAsia" w:ascii="黑体" w:hAnsi="黑体" w:eastAsia="黑体" w:cstheme="minorBidi"/>
                <w:bCs/>
                <w:kern w:val="2"/>
                <w:sz w:val="24"/>
                <w:szCs w:val="22"/>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1078" w:type="dxa"/>
            <w:vAlign w:val="center"/>
          </w:tcPr>
          <w:p>
            <w:pPr>
              <w:spacing w:line="340" w:lineRule="atLeast"/>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吴娅平</w:t>
            </w:r>
          </w:p>
        </w:tc>
        <w:tc>
          <w:tcPr>
            <w:tcW w:w="1215" w:type="dxa"/>
            <w:vAlign w:val="center"/>
          </w:tcPr>
          <w:p>
            <w:pPr>
              <w:spacing w:line="340" w:lineRule="atLeast"/>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1982.09</w:t>
            </w:r>
          </w:p>
        </w:tc>
        <w:tc>
          <w:tcPr>
            <w:tcW w:w="1571" w:type="dxa"/>
            <w:vAlign w:val="center"/>
          </w:tcPr>
          <w:p>
            <w:pPr>
              <w:spacing w:line="340" w:lineRule="atLeast"/>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保定理工学院</w:t>
            </w:r>
          </w:p>
        </w:tc>
        <w:tc>
          <w:tcPr>
            <w:tcW w:w="743" w:type="dxa"/>
            <w:vAlign w:val="center"/>
          </w:tcPr>
          <w:p>
            <w:pPr>
              <w:spacing w:line="340" w:lineRule="atLeast"/>
              <w:jc w:val="left"/>
              <w:rPr>
                <w:rFonts w:hint="default" w:ascii="仿宋_GB2312" w:hAnsi="黑体" w:eastAsia="仿宋_GB2312" w:cstheme="minorBidi"/>
                <w:kern w:val="2"/>
                <w:sz w:val="24"/>
                <w:szCs w:val="24"/>
                <w:lang w:val="en-US" w:eastAsia="zh-CN" w:bidi="ar-SA"/>
              </w:rPr>
            </w:pPr>
          </w:p>
        </w:tc>
        <w:tc>
          <w:tcPr>
            <w:tcW w:w="800" w:type="dxa"/>
            <w:vAlign w:val="center"/>
          </w:tcPr>
          <w:p>
            <w:pPr>
              <w:spacing w:line="340" w:lineRule="atLeast"/>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讲师</w:t>
            </w:r>
          </w:p>
        </w:tc>
        <w:tc>
          <w:tcPr>
            <w:tcW w:w="1428" w:type="dxa"/>
            <w:vAlign w:val="center"/>
          </w:tcPr>
          <w:p>
            <w:pPr>
              <w:spacing w:line="340" w:lineRule="atLeast"/>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技术支持、教学管理</w:t>
            </w:r>
          </w:p>
        </w:tc>
        <w:tc>
          <w:tcPr>
            <w:tcW w:w="1472" w:type="dxa"/>
            <w:vAlign w:val="center"/>
          </w:tcPr>
          <w:p>
            <w:pPr>
              <w:tabs>
                <w:tab w:val="left" w:pos="2219"/>
              </w:tabs>
              <w:suppressAutoHyphens/>
              <w:ind w:right="-123" w:rightChars="0"/>
              <w:jc w:val="left"/>
              <w:rPr>
                <w:rFonts w:hint="eastAsia" w:ascii="黑体" w:hAnsi="黑体" w:eastAsia="黑体" w:cstheme="minorBidi"/>
                <w:bCs/>
                <w:kern w:val="2"/>
                <w:sz w:val="24"/>
                <w:szCs w:val="22"/>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1078" w:type="dxa"/>
            <w:vAlign w:val="center"/>
          </w:tcPr>
          <w:p>
            <w:pPr>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张云</w:t>
            </w:r>
          </w:p>
        </w:tc>
        <w:tc>
          <w:tcPr>
            <w:tcW w:w="1215" w:type="dxa"/>
            <w:vAlign w:val="center"/>
          </w:tcPr>
          <w:p>
            <w:pPr>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1984.5</w:t>
            </w:r>
          </w:p>
        </w:tc>
        <w:tc>
          <w:tcPr>
            <w:tcW w:w="1571" w:type="dxa"/>
            <w:vAlign w:val="center"/>
          </w:tcPr>
          <w:p>
            <w:pPr>
              <w:spacing w:line="340" w:lineRule="atLeast"/>
              <w:jc w:val="left"/>
              <w:rPr>
                <w:rFonts w:hint="default"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保定理工学院</w:t>
            </w:r>
          </w:p>
        </w:tc>
        <w:tc>
          <w:tcPr>
            <w:tcW w:w="743" w:type="dxa"/>
            <w:vAlign w:val="center"/>
          </w:tcPr>
          <w:p>
            <w:pPr>
              <w:spacing w:line="340" w:lineRule="atLeast"/>
              <w:jc w:val="left"/>
              <w:rPr>
                <w:rFonts w:hint="eastAsia" w:ascii="仿宋_GB2312" w:hAnsi="黑体" w:eastAsia="仿宋_GB2312" w:cstheme="minorBidi"/>
                <w:kern w:val="2"/>
                <w:sz w:val="24"/>
                <w:szCs w:val="24"/>
                <w:lang w:val="en-US" w:eastAsia="zh-CN" w:bidi="ar-SA"/>
              </w:rPr>
            </w:pPr>
            <w:r>
              <w:rPr>
                <w:rFonts w:hint="eastAsia" w:ascii="仿宋_GB2312" w:hAnsi="仿宋_GB2312" w:eastAsia="仿宋_GB2312" w:cs="仿宋_GB2312"/>
                <w:kern w:val="0"/>
                <w:sz w:val="24"/>
                <w:szCs w:val="24"/>
              </w:rPr>
              <w:t>教师</w:t>
            </w:r>
          </w:p>
        </w:tc>
        <w:tc>
          <w:tcPr>
            <w:tcW w:w="800" w:type="dxa"/>
            <w:vAlign w:val="center"/>
          </w:tcPr>
          <w:p>
            <w:pPr>
              <w:spacing w:line="340" w:lineRule="atLeast"/>
              <w:jc w:val="left"/>
              <w:rPr>
                <w:rFonts w:hint="eastAsia" w:ascii="仿宋_GB2312" w:hAnsi="黑体" w:eastAsia="仿宋_GB2312" w:cstheme="minorBidi"/>
                <w:kern w:val="2"/>
                <w:sz w:val="24"/>
                <w:szCs w:val="24"/>
                <w:lang w:val="en-US" w:eastAsia="zh-CN" w:bidi="ar-SA"/>
              </w:rPr>
            </w:pPr>
            <w:r>
              <w:rPr>
                <w:rFonts w:hint="eastAsia" w:ascii="仿宋_GB2312" w:hAnsi="仿宋_GB2312" w:eastAsia="仿宋_GB2312" w:cs="仿宋_GB2312"/>
                <w:kern w:val="0"/>
                <w:sz w:val="24"/>
                <w:szCs w:val="24"/>
                <w:lang w:val="en-US" w:eastAsia="zh-CN"/>
              </w:rPr>
              <w:t>讲师</w:t>
            </w:r>
          </w:p>
        </w:tc>
        <w:tc>
          <w:tcPr>
            <w:tcW w:w="1428" w:type="dxa"/>
            <w:vAlign w:val="center"/>
          </w:tcPr>
          <w:p>
            <w:pPr>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助教</w:t>
            </w:r>
          </w:p>
        </w:tc>
        <w:tc>
          <w:tcPr>
            <w:tcW w:w="1472" w:type="dxa"/>
            <w:vAlign w:val="center"/>
          </w:tcPr>
          <w:p>
            <w:pPr>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rPr>
              <w:t>954401555</w:t>
            </w:r>
            <w:r>
              <w:rPr>
                <w:rFonts w:hint="eastAsia" w:ascii="仿宋_GB2312" w:hAnsi="黑体" w:eastAsia="仿宋_GB2312"/>
                <w:sz w:val="24"/>
                <w:szCs w:val="24"/>
                <w:lang w:val="en-US" w:eastAsia="zh-CN"/>
              </w:rPr>
              <w:t>@qq.com</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hint="eastAsia" w:ascii="仿宋_GB2312" w:hAnsi="黑体" w:eastAsia="仿宋_GB2312"/>
                <w:sz w:val="24"/>
                <w:szCs w:val="24"/>
                <w:lang w:eastAsia="zh-CN"/>
              </w:rPr>
            </w:pPr>
            <w:r>
              <w:rPr>
                <w:rFonts w:hint="eastAsia" w:ascii="仿宋_GB2312" w:hAnsi="黑体" w:eastAsia="仿宋_GB2312"/>
                <w:sz w:val="24"/>
                <w:szCs w:val="24"/>
                <w:lang w:val="en-US" w:eastAsia="zh-CN"/>
              </w:rPr>
              <w:t>6</w:t>
            </w:r>
          </w:p>
        </w:tc>
        <w:tc>
          <w:tcPr>
            <w:tcW w:w="1078" w:type="dxa"/>
            <w:vAlign w:val="center"/>
          </w:tcPr>
          <w:p>
            <w:pPr>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杨硕</w:t>
            </w:r>
          </w:p>
        </w:tc>
        <w:tc>
          <w:tcPr>
            <w:tcW w:w="1215" w:type="dxa"/>
            <w:vAlign w:val="center"/>
          </w:tcPr>
          <w:p>
            <w:pPr>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1989.6</w:t>
            </w:r>
          </w:p>
        </w:tc>
        <w:tc>
          <w:tcPr>
            <w:tcW w:w="1571" w:type="dxa"/>
            <w:vAlign w:val="center"/>
          </w:tcPr>
          <w:p>
            <w:pPr>
              <w:spacing w:line="340" w:lineRule="atLeast"/>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保定理工学院</w:t>
            </w:r>
          </w:p>
        </w:tc>
        <w:tc>
          <w:tcPr>
            <w:tcW w:w="743" w:type="dxa"/>
            <w:vAlign w:val="center"/>
          </w:tcPr>
          <w:p>
            <w:pPr>
              <w:spacing w:line="340" w:lineRule="atLeast"/>
              <w:jc w:val="left"/>
              <w:rPr>
                <w:rFonts w:hint="eastAsia" w:ascii="仿宋_GB2312" w:hAnsi="黑体" w:eastAsia="仿宋_GB2312" w:cstheme="minorBidi"/>
                <w:kern w:val="2"/>
                <w:sz w:val="24"/>
                <w:szCs w:val="24"/>
                <w:lang w:val="en-US" w:eastAsia="zh-CN" w:bidi="ar-SA"/>
              </w:rPr>
            </w:pPr>
            <w:r>
              <w:rPr>
                <w:rFonts w:hint="eastAsia" w:ascii="仿宋_GB2312" w:hAnsi="仿宋_GB2312" w:eastAsia="仿宋_GB2312" w:cs="仿宋_GB2312"/>
                <w:kern w:val="0"/>
                <w:sz w:val="24"/>
                <w:szCs w:val="24"/>
              </w:rPr>
              <w:t>教师</w:t>
            </w:r>
          </w:p>
        </w:tc>
        <w:tc>
          <w:tcPr>
            <w:tcW w:w="800" w:type="dxa"/>
            <w:vAlign w:val="center"/>
          </w:tcPr>
          <w:p>
            <w:pPr>
              <w:jc w:val="left"/>
              <w:rPr>
                <w:rFonts w:hint="eastAsia" w:ascii="仿宋_GB2312" w:hAnsi="黑体" w:eastAsia="仿宋_GB2312" w:cstheme="minorBidi"/>
                <w:kern w:val="2"/>
                <w:sz w:val="24"/>
                <w:szCs w:val="24"/>
                <w:lang w:val="en-US" w:eastAsia="zh-CN" w:bidi="ar-SA"/>
              </w:rPr>
            </w:pPr>
            <w:r>
              <w:rPr>
                <w:rFonts w:hint="eastAsia" w:ascii="仿宋_GB2312" w:hAnsi="黑体" w:eastAsia="仿宋_GB2312"/>
                <w:sz w:val="24"/>
                <w:szCs w:val="24"/>
                <w:lang w:val="en-US" w:eastAsia="zh-CN"/>
              </w:rPr>
              <w:t>助教</w:t>
            </w:r>
          </w:p>
        </w:tc>
        <w:tc>
          <w:tcPr>
            <w:tcW w:w="1428" w:type="dxa"/>
            <w:vAlign w:val="center"/>
          </w:tcPr>
          <w:p>
            <w:pPr>
              <w:tabs>
                <w:tab w:val="left" w:pos="2219"/>
              </w:tabs>
              <w:suppressAutoHyphens/>
              <w:ind w:right="-136" w:rightChars="0"/>
              <w:jc w:val="left"/>
              <w:rPr>
                <w:rFonts w:hint="eastAsia" w:ascii="黑体" w:hAnsi="黑体" w:eastAsia="黑体" w:cstheme="minorBidi"/>
                <w:bCs/>
                <w:kern w:val="2"/>
                <w:sz w:val="24"/>
                <w:szCs w:val="22"/>
                <w:lang w:val="en-US" w:eastAsia="zh-CN" w:bidi="ar-SA"/>
              </w:rPr>
            </w:pPr>
            <w:r>
              <w:rPr>
                <w:rFonts w:hint="eastAsia" w:ascii="仿宋_GB2312" w:hAnsi="黑体" w:eastAsia="仿宋_GB2312"/>
                <w:sz w:val="24"/>
                <w:szCs w:val="24"/>
                <w:lang w:val="en-US" w:eastAsia="zh-CN"/>
              </w:rPr>
              <w:t>助教</w:t>
            </w:r>
          </w:p>
        </w:tc>
        <w:tc>
          <w:tcPr>
            <w:tcW w:w="1472" w:type="dxa"/>
            <w:vAlign w:val="center"/>
          </w:tcPr>
          <w:p>
            <w:pPr>
              <w:tabs>
                <w:tab w:val="left" w:pos="2219"/>
              </w:tabs>
              <w:suppressAutoHyphens/>
              <w:ind w:right="-123" w:rightChars="0"/>
              <w:jc w:val="left"/>
              <w:rPr>
                <w:rFonts w:hint="eastAsia" w:ascii="黑体" w:hAnsi="黑体" w:eastAsia="黑体" w:cstheme="minorBidi"/>
                <w:bCs/>
                <w:kern w:val="2"/>
                <w:sz w:val="24"/>
                <w:szCs w:val="22"/>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214" w:type="dxa"/>
            <w:gridSpan w:val="8"/>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4" w:type="dxa"/>
            <w:gridSpan w:val="8"/>
          </w:tcPr>
          <w:p>
            <w:pPr>
              <w:ind w:firstLine="120" w:firstLineChars="50"/>
              <w:rPr>
                <w:rFonts w:ascii="仿宋_GB2312" w:hAnsi="仿宋" w:eastAsia="仿宋_GB2312"/>
                <w:sz w:val="24"/>
                <w:szCs w:val="24"/>
              </w:rPr>
            </w:pPr>
            <w:r>
              <w:rPr>
                <w:rFonts w:hint="eastAsia" w:ascii="仿宋_GB2312" w:hAnsi="仿宋" w:eastAsia="仿宋_GB2312"/>
                <w:sz w:val="24"/>
                <w:szCs w:val="24"/>
              </w:rPr>
              <w:t>（近5年来在承担该门课程教学任务、开展教学研究、获得教学奖励方面的情况）</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近5年来，杨雪老师完成工程造价原理类课程教学任务共2240多学时，指导工程造价课程设计、工程造价毕业设计、施工组织课程设计等实践课程900多学时。</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在教学教改研究方面，主持完成教育部协同育人项目1项，省级教学教改课题</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校级课题2项，在研河北省课题1项,第一作者发表教学教改论文7篇，主编多部专业课适用教材。</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教学奖励方面，获得全国教师创课大赛三等奖、以及优秀教师、优秀共产党员等荣誉称号，指导学生参加全国中、高等院校学生BIM毕业设计、职业技能等多方面专业技术应用型大赛获奖，为此多次被评“优秀指导教师”称号。</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作为团队的主要成员，冯雪英老师、孙文君老师等几位老师，近5年境均承担工程造价原理类课程教学任务，指导工程造价类课程设计、毕业设计多个学期。教学教改研究方面，冯雪英老师主编教材《建筑工程造价》，主持完成校级课题《职业本科院校工程造价精品课程建设研究》，连续多年荣获“优秀论文指导教师”“广联达大赛优秀指导教师”等称号。</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孙文君老师主持完成河北省人力资源与社会保障厅1项，第一作者发表教学教改论文6篇，并荣获第六届西浦全国大学教学创新大赛优秀奖， 校级青年教师帮扶效果检查评比大赛三等奖以及优秀教师等荣誉称号。</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李琴，近五年参与编写了2部专业教材，参与的课题有《基于“工作室化”的工程造价专业创新型人才培养路径研究》、《河北省高校科技创新能力培养环境分析—以工程管理类专业人才培养为例》等，指导工程管理、工程造价专业学生参加斯维尔杯BIM大赛、广联达BIM5D大赛等，并获优秀指导教师等。</w:t>
            </w:r>
            <w:r>
              <w:rPr>
                <w:rFonts w:hint="eastAsia" w:ascii="仿宋_GB2312" w:hAnsi="仿宋_GB2312" w:eastAsia="仿宋_GB2312" w:cs="仿宋_GB2312"/>
                <w:kern w:val="0"/>
                <w:sz w:val="24"/>
                <w:szCs w:val="24"/>
                <w:lang w:val="en-US" w:eastAsia="zh-CN"/>
              </w:rPr>
              <w:br w:type="textWrapping"/>
            </w:r>
          </w:p>
          <w:p>
            <w:pPr>
              <w:ind w:firstLine="120" w:firstLineChars="50"/>
              <w:rPr>
                <w:rFonts w:ascii="仿宋_GB2312" w:hAnsi="仿宋" w:eastAsia="仿宋_GB2312"/>
                <w:sz w:val="24"/>
                <w:szCs w:val="24"/>
              </w:rPr>
            </w:pPr>
          </w:p>
          <w:p>
            <w:pPr>
              <w:ind w:firstLine="120" w:firstLineChars="50"/>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三、课程特色（不超过800字）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1418"/>
        <w:gridCol w:w="1134"/>
        <w:gridCol w:w="850"/>
        <w:gridCol w:w="1184"/>
        <w:gridCol w:w="39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trPr>
        <w:tc>
          <w:tcPr>
            <w:tcW w:w="9214" w:type="dxa"/>
            <w:gridSpan w:val="6"/>
            <w:tcBorders>
              <w:bottom w:val="single" w:color="auto" w:sz="4" w:space="0"/>
            </w:tcBorders>
            <w:vAlign w:val="center"/>
          </w:tcPr>
          <w:p>
            <w:pPr>
              <w:jc w:val="center"/>
              <w:rPr>
                <w:rFonts w:ascii="黑体" w:hAnsi="黑体" w:eastAsia="黑体"/>
                <w:sz w:val="24"/>
                <w:szCs w:val="24"/>
              </w:rPr>
            </w:pPr>
            <w:r>
              <w:rPr>
                <w:rFonts w:ascii="黑体" w:hAnsi="黑体" w:eastAsia="黑体"/>
                <w:sz w:val="24"/>
                <w:szCs w:val="24"/>
              </w:rPr>
              <w:t>同类国家级一流</w:t>
            </w:r>
            <w:r>
              <w:rPr>
                <w:rFonts w:hint="eastAsia" w:ascii="黑体" w:hAnsi="黑体" w:eastAsia="黑体"/>
                <w:sz w:val="24"/>
                <w:szCs w:val="24"/>
              </w:rPr>
              <w:t>本科</w:t>
            </w:r>
            <w:r>
              <w:rPr>
                <w:rFonts w:ascii="黑体" w:hAnsi="黑体" w:eastAsia="黑体"/>
                <w:sz w:val="24"/>
                <w:szCs w:val="24"/>
              </w:rPr>
              <w:t>课程</w:t>
            </w:r>
            <w:r>
              <w:rPr>
                <w:rFonts w:hint="eastAsia" w:ascii="黑体" w:hAnsi="黑体" w:eastAsia="黑体"/>
                <w:sz w:val="24"/>
                <w:szCs w:val="24"/>
              </w:rPr>
              <w:t>（线上课程）</w:t>
            </w:r>
            <w:r>
              <w:rPr>
                <w:rFonts w:ascii="黑体" w:hAnsi="黑体" w:eastAsia="黑体"/>
                <w:sz w:val="24"/>
                <w:szCs w:val="24"/>
              </w:rPr>
              <w:t>情况分析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课程名称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负责人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学校</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开课平台</w:t>
            </w:r>
          </w:p>
        </w:tc>
        <w:tc>
          <w:tcPr>
            <w:tcW w:w="3919" w:type="dxa"/>
            <w:tcBorders>
              <w:top w:val="single" w:color="auto" w:sz="4" w:space="0"/>
              <w:left w:val="single" w:color="auto" w:sz="4" w:space="0"/>
              <w:bottom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简述此课程优缺点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1</w:t>
            </w:r>
          </w:p>
        </w:tc>
        <w:tc>
          <w:tcPr>
            <w:tcW w:w="1418" w:type="dxa"/>
            <w:tcBorders>
              <w:top w:val="single" w:color="auto" w:sz="4" w:space="0"/>
              <w:left w:val="single" w:color="auto" w:sz="4" w:space="0"/>
              <w:bottom w:val="single" w:color="auto" w:sz="4" w:space="0"/>
              <w:right w:val="single" w:color="auto" w:sz="4" w:space="0"/>
            </w:tcBorders>
          </w:tcPr>
          <w:p>
            <w:pPr>
              <w:rPr>
                <w:rFonts w:hint="eastAsia" w:ascii="仿宋_GB2312" w:eastAsia="仿宋_GB2312"/>
                <w:sz w:val="24"/>
                <w:szCs w:val="24"/>
                <w:lang w:eastAsia="zh-CN"/>
              </w:rPr>
            </w:pPr>
            <w:r>
              <w:rPr>
                <w:rFonts w:hint="eastAsia" w:ascii="仿宋_GB2312" w:hAnsi="仿宋" w:eastAsia="仿宋_GB2312"/>
                <w:sz w:val="24"/>
                <w:szCs w:val="24"/>
              </w:rPr>
              <w:t>建筑工程计量与计价</w:t>
            </w:r>
            <w:r>
              <w:rPr>
                <w:rFonts w:hint="eastAsia" w:ascii="仿宋_GB2312" w:hAnsi="仿宋" w:eastAsia="仿宋_GB2312"/>
                <w:sz w:val="24"/>
                <w:szCs w:val="24"/>
                <w:lang w:eastAsia="zh-CN"/>
              </w:rPr>
              <w:t>（</w:t>
            </w:r>
            <w:r>
              <w:rPr>
                <w:rFonts w:hint="eastAsia" w:ascii="仿宋_GB2312" w:hAnsi="仿宋" w:eastAsia="仿宋_GB2312"/>
                <w:sz w:val="24"/>
                <w:szCs w:val="24"/>
                <w:lang w:val="en-US" w:eastAsia="zh-CN"/>
              </w:rPr>
              <w:t>一</w:t>
            </w:r>
            <w:r>
              <w:rPr>
                <w:rFonts w:hint="eastAsia" w:ascii="仿宋_GB2312" w:hAnsi="仿宋" w:eastAsia="仿宋_GB2312"/>
                <w:sz w:val="24"/>
                <w:szCs w:val="24"/>
                <w:lang w:eastAsia="zh-CN"/>
              </w:rPr>
              <w:t>）</w:t>
            </w: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r>
              <w:rPr>
                <w:rFonts w:hint="eastAsia" w:ascii="仿宋_GB2312" w:hAnsi="仿宋" w:eastAsia="仿宋_GB2312"/>
                <w:sz w:val="24"/>
                <w:szCs w:val="24"/>
              </w:rPr>
              <w:t>冯桂云</w:t>
            </w:r>
          </w:p>
        </w:tc>
        <w:tc>
          <w:tcPr>
            <w:tcW w:w="850" w:type="dxa"/>
            <w:tcBorders>
              <w:top w:val="single" w:color="auto" w:sz="4" w:space="0"/>
              <w:left w:val="single" w:color="auto" w:sz="4" w:space="0"/>
              <w:bottom w:val="single" w:color="auto" w:sz="4" w:space="0"/>
              <w:right w:val="single" w:color="auto" w:sz="4" w:space="0"/>
            </w:tcBorders>
          </w:tcPr>
          <w:p>
            <w:pPr>
              <w:rPr>
                <w:rFonts w:hint="eastAsia" w:ascii="仿宋_GB2312" w:hAnsi="仿宋" w:eastAsia="仿宋_GB2312"/>
                <w:sz w:val="24"/>
                <w:szCs w:val="24"/>
              </w:rPr>
            </w:pPr>
            <w:r>
              <w:rPr>
                <w:rFonts w:hint="eastAsia" w:ascii="仿宋_GB2312" w:hAnsi="仿宋" w:eastAsia="仿宋_GB2312"/>
                <w:sz w:val="24"/>
                <w:szCs w:val="24"/>
              </w:rPr>
              <w:fldChar w:fldCharType="begin"/>
            </w:r>
            <w:r>
              <w:rPr>
                <w:rFonts w:hint="eastAsia" w:ascii="仿宋_GB2312" w:hAnsi="仿宋" w:eastAsia="仿宋_GB2312"/>
                <w:sz w:val="24"/>
                <w:szCs w:val="24"/>
              </w:rPr>
              <w:instrText xml:space="preserve"> HYPERLINK "https://www.icourse163.org/university/HNPI" \t "https://www.icourse163.org/u/_blank" </w:instrText>
            </w:r>
            <w:r>
              <w:rPr>
                <w:rFonts w:hint="eastAsia" w:ascii="仿宋_GB2312" w:hAnsi="仿宋" w:eastAsia="仿宋_GB2312"/>
                <w:sz w:val="24"/>
                <w:szCs w:val="24"/>
              </w:rPr>
              <w:fldChar w:fldCharType="separate"/>
            </w:r>
            <w:r>
              <w:rPr>
                <w:rFonts w:hint="eastAsia" w:ascii="仿宋_GB2312" w:hAnsi="仿宋" w:eastAsia="仿宋_GB2312"/>
                <w:sz w:val="24"/>
                <w:szCs w:val="24"/>
              </w:rPr>
              <w:t>河南工业职业技术学院</w:t>
            </w:r>
            <w:r>
              <w:rPr>
                <w:rFonts w:hint="eastAsia" w:ascii="仿宋_GB2312" w:hAnsi="仿宋" w:eastAsia="仿宋_GB2312"/>
                <w:sz w:val="24"/>
                <w:szCs w:val="24"/>
              </w:rPr>
              <w:fldChar w:fldCharType="end"/>
            </w:r>
          </w:p>
        </w:tc>
        <w:tc>
          <w:tcPr>
            <w:tcW w:w="1184" w:type="dxa"/>
            <w:tcBorders>
              <w:top w:val="single" w:color="auto" w:sz="4" w:space="0"/>
              <w:left w:val="single" w:color="auto" w:sz="4" w:space="0"/>
              <w:bottom w:val="single" w:color="auto" w:sz="4" w:space="0"/>
              <w:right w:val="single" w:color="auto" w:sz="4" w:space="0"/>
            </w:tcBorders>
          </w:tcPr>
          <w:p>
            <w:pPr>
              <w:rPr>
                <w:rFonts w:hint="default" w:ascii="仿宋_GB2312" w:eastAsia="仿宋_GB2312"/>
                <w:sz w:val="24"/>
                <w:szCs w:val="24"/>
                <w:lang w:val="en-US" w:eastAsia="zh-CN"/>
              </w:rPr>
            </w:pPr>
            <w:r>
              <w:rPr>
                <w:rFonts w:hint="eastAsia" w:ascii="仿宋_GB2312" w:eastAsia="仿宋_GB2312"/>
                <w:sz w:val="24"/>
                <w:szCs w:val="24"/>
                <w:lang w:val="en-US" w:eastAsia="zh-CN"/>
              </w:rPr>
              <w:t>爱课程</w:t>
            </w:r>
          </w:p>
        </w:tc>
        <w:tc>
          <w:tcPr>
            <w:tcW w:w="3919" w:type="dxa"/>
            <w:tcBorders>
              <w:top w:val="single" w:color="auto" w:sz="4" w:space="0"/>
              <w:left w:val="single" w:color="auto" w:sz="4" w:space="0"/>
              <w:bottom w:val="single" w:color="auto" w:sz="4" w:space="0"/>
            </w:tcBorders>
          </w:tcPr>
          <w:p>
            <w:pPr>
              <w:rPr>
                <w:rFonts w:hint="eastAsia" w:ascii="仿宋_GB2312" w:eastAsia="仿宋_GB2312"/>
                <w:sz w:val="24"/>
                <w:szCs w:val="24"/>
                <w:lang w:val="en-US" w:eastAsia="zh-CN"/>
              </w:rPr>
            </w:pPr>
            <w:r>
              <w:rPr>
                <w:rFonts w:hint="eastAsia" w:ascii="仿宋_GB2312" w:eastAsia="仿宋_GB2312"/>
                <w:sz w:val="24"/>
                <w:szCs w:val="24"/>
                <w:lang w:val="en-US" w:eastAsia="zh-CN"/>
              </w:rPr>
              <w:t>优点：课程体系较完整，授课内容直接，课件PPT画面较清晰。</w:t>
            </w:r>
          </w:p>
          <w:p>
            <w:pPr>
              <w:rPr>
                <w:rFonts w:hint="default" w:ascii="仿宋_GB2312" w:eastAsia="仿宋_GB2312"/>
                <w:sz w:val="24"/>
                <w:szCs w:val="24"/>
                <w:lang w:val="en-US" w:eastAsia="zh-CN"/>
              </w:rPr>
            </w:pPr>
            <w:r>
              <w:rPr>
                <w:rFonts w:hint="eastAsia" w:ascii="仿宋_GB2312" w:eastAsia="仿宋_GB2312"/>
                <w:sz w:val="24"/>
                <w:szCs w:val="24"/>
                <w:lang w:val="en-US" w:eastAsia="zh-CN"/>
              </w:rPr>
              <w:t>缺点：授课方式较传统，画面基本延用了传统线下课堂授课模式。3D模拟、动画等生动的可视化表现内容设计的不多。另外，缺少造价软件的应用部分内容。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2</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r>
              <w:rPr>
                <w:rFonts w:hint="eastAsia" w:ascii="仿宋_GB2312" w:hAnsi="仿宋" w:eastAsia="仿宋_GB2312"/>
                <w:sz w:val="24"/>
                <w:szCs w:val="24"/>
              </w:rPr>
              <w:t>建筑工程计量与计价</w:t>
            </w:r>
            <w:r>
              <w:rPr>
                <w:rFonts w:hint="eastAsia" w:ascii="仿宋_GB2312" w:hAnsi="仿宋" w:eastAsia="仿宋_GB2312"/>
                <w:sz w:val="24"/>
                <w:szCs w:val="24"/>
                <w:lang w:eastAsia="zh-CN"/>
              </w:rPr>
              <w:t>（</w:t>
            </w:r>
            <w:r>
              <w:rPr>
                <w:rFonts w:hint="eastAsia" w:ascii="仿宋_GB2312" w:hAnsi="仿宋" w:eastAsia="仿宋_GB2312"/>
                <w:sz w:val="24"/>
                <w:szCs w:val="24"/>
                <w:lang w:val="en-US" w:eastAsia="zh-CN"/>
              </w:rPr>
              <w:t>二</w:t>
            </w:r>
            <w:r>
              <w:rPr>
                <w:rFonts w:hint="eastAsia" w:ascii="仿宋_GB2312" w:hAnsi="仿宋" w:eastAsia="仿宋_GB2312"/>
                <w:sz w:val="24"/>
                <w:szCs w:val="24"/>
                <w:lang w:eastAsia="zh-CN"/>
              </w:rPr>
              <w:t>）</w:t>
            </w:r>
          </w:p>
        </w:tc>
        <w:tc>
          <w:tcPr>
            <w:tcW w:w="1134" w:type="dxa"/>
            <w:tcBorders>
              <w:top w:val="single" w:color="auto" w:sz="4" w:space="0"/>
              <w:left w:val="single" w:color="auto" w:sz="4" w:space="0"/>
              <w:bottom w:val="single" w:color="auto" w:sz="4" w:space="0"/>
              <w:right w:val="single" w:color="auto" w:sz="4" w:space="0"/>
            </w:tcBorders>
            <w:vAlign w:val="top"/>
          </w:tcPr>
          <w:p>
            <w:pPr>
              <w:rPr>
                <w:rFonts w:ascii="仿宋_GB2312" w:eastAsia="仿宋_GB2312" w:hAnsiTheme="minorHAnsi" w:cstheme="minorBidi"/>
                <w:kern w:val="2"/>
                <w:sz w:val="24"/>
                <w:szCs w:val="24"/>
                <w:lang w:val="en-US" w:eastAsia="zh-CN" w:bidi="ar-SA"/>
              </w:rPr>
            </w:pPr>
            <w:r>
              <w:rPr>
                <w:rFonts w:hint="eastAsia" w:ascii="仿宋_GB2312" w:hAnsi="仿宋" w:eastAsia="仿宋_GB2312"/>
                <w:sz w:val="24"/>
                <w:szCs w:val="24"/>
              </w:rPr>
              <w:t>冯桂云</w:t>
            </w:r>
          </w:p>
        </w:tc>
        <w:tc>
          <w:tcPr>
            <w:tcW w:w="850" w:type="dxa"/>
            <w:tcBorders>
              <w:top w:val="single" w:color="auto" w:sz="4" w:space="0"/>
              <w:left w:val="single" w:color="auto" w:sz="4" w:space="0"/>
              <w:bottom w:val="single" w:color="auto" w:sz="4" w:space="0"/>
              <w:right w:val="single" w:color="auto" w:sz="4" w:space="0"/>
            </w:tcBorders>
            <w:vAlign w:val="top"/>
          </w:tcPr>
          <w:p>
            <w:pPr>
              <w:rPr>
                <w:rFonts w:hint="eastAsia" w:ascii="仿宋_GB2312" w:hAnsi="仿宋" w:eastAsia="仿宋_GB2312" w:cstheme="minorBidi"/>
                <w:kern w:val="2"/>
                <w:sz w:val="24"/>
                <w:szCs w:val="24"/>
                <w:lang w:val="en-US" w:eastAsia="zh-CN" w:bidi="ar-SA"/>
              </w:rPr>
            </w:pPr>
            <w:r>
              <w:rPr>
                <w:rFonts w:hint="eastAsia" w:ascii="仿宋_GB2312" w:hAnsi="仿宋" w:eastAsia="仿宋_GB2312"/>
                <w:sz w:val="24"/>
                <w:szCs w:val="24"/>
              </w:rPr>
              <w:fldChar w:fldCharType="begin"/>
            </w:r>
            <w:r>
              <w:rPr>
                <w:rFonts w:hint="eastAsia" w:ascii="仿宋_GB2312" w:hAnsi="仿宋" w:eastAsia="仿宋_GB2312"/>
                <w:sz w:val="24"/>
                <w:szCs w:val="24"/>
              </w:rPr>
              <w:instrText xml:space="preserve"> HYPERLINK "https://www.icourse163.org/university/HNPI" \t "https://www.icourse163.org/u/_blank" </w:instrText>
            </w:r>
            <w:r>
              <w:rPr>
                <w:rFonts w:hint="eastAsia" w:ascii="仿宋_GB2312" w:hAnsi="仿宋" w:eastAsia="仿宋_GB2312"/>
                <w:sz w:val="24"/>
                <w:szCs w:val="24"/>
              </w:rPr>
              <w:fldChar w:fldCharType="separate"/>
            </w:r>
            <w:r>
              <w:rPr>
                <w:rFonts w:hint="eastAsia" w:ascii="仿宋_GB2312" w:hAnsi="仿宋" w:eastAsia="仿宋_GB2312"/>
                <w:sz w:val="24"/>
                <w:szCs w:val="24"/>
              </w:rPr>
              <w:t>河南工业职业技术学院</w:t>
            </w:r>
            <w:r>
              <w:rPr>
                <w:rFonts w:hint="eastAsia" w:ascii="仿宋_GB2312" w:hAnsi="仿宋" w:eastAsia="仿宋_GB2312"/>
                <w:sz w:val="24"/>
                <w:szCs w:val="24"/>
              </w:rPr>
              <w:fldChar w:fldCharType="end"/>
            </w:r>
          </w:p>
        </w:tc>
        <w:tc>
          <w:tcPr>
            <w:tcW w:w="1184" w:type="dxa"/>
            <w:tcBorders>
              <w:top w:val="single" w:color="auto" w:sz="4" w:space="0"/>
              <w:left w:val="single" w:color="auto" w:sz="4" w:space="0"/>
              <w:bottom w:val="single" w:color="auto" w:sz="4" w:space="0"/>
              <w:right w:val="single" w:color="auto" w:sz="4" w:space="0"/>
            </w:tcBorders>
            <w:vAlign w:val="top"/>
          </w:tcPr>
          <w:p>
            <w:pPr>
              <w:rPr>
                <w:rFonts w:hint="default" w:ascii="仿宋_GB2312" w:eastAsia="仿宋_GB2312" w:hAnsiTheme="minorHAnsi" w:cstheme="minorBidi"/>
                <w:kern w:val="2"/>
                <w:sz w:val="24"/>
                <w:szCs w:val="24"/>
                <w:lang w:val="en-US" w:eastAsia="zh-CN" w:bidi="ar-SA"/>
              </w:rPr>
            </w:pPr>
            <w:r>
              <w:rPr>
                <w:rFonts w:hint="eastAsia" w:ascii="仿宋_GB2312" w:eastAsia="仿宋_GB2312"/>
                <w:sz w:val="24"/>
                <w:szCs w:val="24"/>
                <w:lang w:val="en-US" w:eastAsia="zh-CN"/>
              </w:rPr>
              <w:t>爱课程</w:t>
            </w:r>
          </w:p>
        </w:tc>
        <w:tc>
          <w:tcPr>
            <w:tcW w:w="3919" w:type="dxa"/>
            <w:tcBorders>
              <w:top w:val="single" w:color="auto" w:sz="4" w:space="0"/>
              <w:left w:val="single" w:color="auto" w:sz="4" w:space="0"/>
              <w:bottom w:val="single" w:color="auto" w:sz="4" w:space="0"/>
            </w:tcBorders>
          </w:tcPr>
          <w:p>
            <w:pPr>
              <w:rPr>
                <w:rFonts w:hint="eastAsia" w:ascii="仿宋_GB2312" w:eastAsia="仿宋_GB2312"/>
                <w:sz w:val="24"/>
                <w:szCs w:val="24"/>
                <w:lang w:val="en-US" w:eastAsia="zh-CN"/>
              </w:rPr>
            </w:pPr>
            <w:r>
              <w:rPr>
                <w:rFonts w:hint="eastAsia" w:ascii="仿宋_GB2312" w:eastAsia="仿宋_GB2312"/>
                <w:sz w:val="24"/>
                <w:szCs w:val="24"/>
                <w:lang w:val="en-US" w:eastAsia="zh-CN"/>
              </w:rPr>
              <w:t>优点：与（一）相比增加了一部分动画设计的短视频，课程体系进一步细化。</w:t>
            </w:r>
          </w:p>
          <w:p>
            <w:pPr>
              <w:rPr>
                <w:rFonts w:hint="default" w:ascii="仿宋_GB2312" w:eastAsia="仿宋_GB2312"/>
                <w:sz w:val="24"/>
                <w:szCs w:val="24"/>
                <w:lang w:val="en-US" w:eastAsia="zh-CN"/>
              </w:rPr>
            </w:pPr>
            <w:r>
              <w:rPr>
                <w:rFonts w:hint="eastAsia" w:ascii="仿宋_GB2312" w:eastAsia="仿宋_GB2312"/>
                <w:sz w:val="24"/>
                <w:szCs w:val="24"/>
                <w:lang w:val="en-US" w:eastAsia="zh-CN"/>
              </w:rPr>
              <w:t>缺点：授课方式较传统，画面基本延用了传统线下课堂授课模式。3D模拟、动画等生动的可视化表现内容设计的不多。另外，缺少造价软件的应用部分内容。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87" w:hRule="atLeast"/>
        </w:trPr>
        <w:tc>
          <w:tcPr>
            <w:tcW w:w="9214" w:type="dxa"/>
            <w:gridSpan w:val="6"/>
            <w:tcBorders>
              <w:top w:val="single" w:color="auto" w:sz="4" w:space="0"/>
            </w:tcBorders>
          </w:tcPr>
          <w:p>
            <w:pPr>
              <w:rPr>
                <w:rFonts w:ascii="仿宋_GB2312" w:hAnsi="仿宋" w:eastAsia="仿宋_GB2312"/>
                <w:sz w:val="24"/>
                <w:szCs w:val="24"/>
              </w:rPr>
            </w:pPr>
            <w:r>
              <w:rPr>
                <w:rFonts w:hint="eastAsia" w:ascii="仿宋_GB2312" w:hAnsi="仿宋" w:eastAsia="仿宋_GB2312"/>
                <w:sz w:val="24"/>
                <w:szCs w:val="24"/>
              </w:rPr>
              <w:t>[与同类国家级一流本科课程（线上课程）等优质课程比较，简述本课程的特点与优势]</w:t>
            </w:r>
          </w:p>
          <w:p>
            <w:pPr>
              <w:rPr>
                <w:rFonts w:ascii="仿宋_GB2312" w:eastAsia="仿宋_GB2312"/>
                <w:sz w:val="24"/>
                <w:szCs w:val="24"/>
              </w:rPr>
            </w:pPr>
          </w:p>
          <w:p>
            <w:pPr>
              <w:rPr>
                <w:rFonts w:hint="eastAsia" w:ascii="仿宋_GB2312" w:hAnsi="仿宋" w:eastAsia="仿宋_GB2312"/>
                <w:sz w:val="24"/>
                <w:szCs w:val="24"/>
                <w:lang w:val="en-US" w:eastAsia="zh-CN"/>
              </w:rPr>
            </w:pPr>
            <w:r>
              <w:rPr>
                <w:rFonts w:hint="eastAsia" w:ascii="仿宋_GB2312" w:eastAsia="仿宋_GB2312"/>
                <w:sz w:val="24"/>
                <w:szCs w:val="24"/>
                <w:lang w:val="en-US" w:eastAsia="zh-CN"/>
              </w:rPr>
              <w:t>与</w:t>
            </w:r>
            <w:r>
              <w:rPr>
                <w:rFonts w:hint="eastAsia" w:ascii="仿宋_GB2312" w:hAnsi="仿宋" w:eastAsia="仿宋_GB2312"/>
                <w:sz w:val="24"/>
                <w:szCs w:val="24"/>
              </w:rPr>
              <w:t>同类国家级一流本科课程（线上课程）等优质课程比较</w:t>
            </w:r>
            <w:r>
              <w:rPr>
                <w:rFonts w:hint="eastAsia" w:ascii="仿宋_GB2312" w:hAnsi="仿宋" w:eastAsia="仿宋_GB2312"/>
                <w:sz w:val="24"/>
                <w:szCs w:val="24"/>
                <w:lang w:eastAsia="zh-CN"/>
              </w:rPr>
              <w:t>，</w:t>
            </w:r>
            <w:r>
              <w:rPr>
                <w:rFonts w:hint="eastAsia" w:ascii="仿宋_GB2312" w:hAnsi="仿宋" w:eastAsia="仿宋_GB2312"/>
                <w:sz w:val="24"/>
                <w:szCs w:val="24"/>
                <w:lang w:val="en-US" w:eastAsia="zh-CN"/>
              </w:rPr>
              <w:t>本在绩开放课程的主要特点与优势：</w:t>
            </w:r>
          </w:p>
          <w:p>
            <w:pPr>
              <w:rPr>
                <w:rFonts w:hint="default" w:ascii="仿宋_GB2312" w:hAnsi="仿宋" w:eastAsia="仿宋_GB2312"/>
                <w:sz w:val="24"/>
                <w:szCs w:val="24"/>
                <w:lang w:val="en-US" w:eastAsia="zh-CN"/>
              </w:rPr>
            </w:pPr>
            <w:r>
              <w:rPr>
                <w:rFonts w:hint="eastAsia" w:ascii="仿宋_GB2312" w:hAnsi="仿宋" w:eastAsia="仿宋_GB2312"/>
                <w:sz w:val="24"/>
                <w:szCs w:val="24"/>
                <w:lang w:val="en-US" w:eastAsia="zh-CN"/>
              </w:rPr>
              <w:t>1.课程体系进一步深化、完整化，更注重学习者的行业实务操作技能的培养，及课程前续知识的预备。</w:t>
            </w:r>
          </w:p>
          <w:p>
            <w:pPr>
              <w:ind w:firstLine="480" w:firstLineChars="200"/>
              <w:rPr>
                <w:rFonts w:hint="default" w:ascii="仿宋_GB2312" w:hAnsi="仿宋" w:eastAsia="仿宋_GB2312"/>
                <w:sz w:val="24"/>
                <w:szCs w:val="24"/>
                <w:lang w:val="en-US" w:eastAsia="zh-CN"/>
              </w:rPr>
            </w:pPr>
            <w:r>
              <w:rPr>
                <w:rFonts w:hint="eastAsia" w:ascii="仿宋_GB2312" w:hAnsi="仿宋" w:eastAsia="仿宋_GB2312"/>
                <w:sz w:val="24"/>
                <w:szCs w:val="24"/>
                <w:lang w:val="en-US" w:eastAsia="zh-CN"/>
              </w:rPr>
              <w:t>本在线开放课程依据课程特点及工程建设行业实际需要，将课程划分为基础、核心理论技能及实务实训三个有机结合的模块。在工程造价原理的理论技术知识体系的基础上，增加上游专业基础课程知识理论内容，以及行业通用造价软件的实务实操训练内容。</w:t>
            </w:r>
          </w:p>
          <w:p>
            <w:pPr>
              <w:numPr>
                <w:ilvl w:val="0"/>
                <w:numId w:val="1"/>
              </w:numPr>
              <w:rPr>
                <w:rFonts w:hint="eastAsia" w:ascii="仿宋_GB2312" w:eastAsia="仿宋_GB2312"/>
                <w:sz w:val="24"/>
                <w:szCs w:val="24"/>
                <w:lang w:val="en-US" w:eastAsia="zh-CN"/>
              </w:rPr>
            </w:pPr>
            <w:r>
              <w:rPr>
                <w:rFonts w:hint="eastAsia" w:ascii="仿宋_GB2312" w:eastAsia="仿宋_GB2312"/>
                <w:sz w:val="24"/>
                <w:szCs w:val="24"/>
                <w:lang w:val="en-US" w:eastAsia="zh-CN"/>
              </w:rPr>
              <w:t>课程教学短视频的表现设计上，引入了新的教学短视频制作技术，增加了相当数量的3D仿真模拟、动画等表达方式，吸引学习者的注意力的同时，更以沉浸化、可视化的表现形式，把抽像的理论转化为生动的实际实体活动，使学者能够一目了然。</w:t>
            </w:r>
          </w:p>
          <w:p>
            <w:pPr>
              <w:numPr>
                <w:ilvl w:val="0"/>
                <w:numId w:val="1"/>
              </w:numPr>
              <w:rPr>
                <w:rFonts w:hint="default" w:ascii="仿宋_GB2312" w:eastAsia="仿宋_GB2312"/>
                <w:sz w:val="24"/>
                <w:szCs w:val="24"/>
                <w:lang w:val="en-US" w:eastAsia="zh-CN"/>
              </w:rPr>
            </w:pPr>
            <w:r>
              <w:rPr>
                <w:rFonts w:hint="eastAsia" w:ascii="仿宋_GB2312" w:eastAsia="仿宋_GB2312"/>
                <w:sz w:val="24"/>
                <w:szCs w:val="24"/>
                <w:lang w:val="en-US" w:eastAsia="zh-CN"/>
              </w:rPr>
              <w:t>课程教学更注重实务实操能力的培养训练</w:t>
            </w:r>
          </w:p>
          <w:p>
            <w:pPr>
              <w:ind w:firstLine="480" w:firstLineChars="2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本课程教学模块——实务实训部分，由团队中工程造价工程师，应用当前行业里实际使用的工程造价软件，结合实例，进行实务操作演示，录制剪辑成一套教学短视频，并设计实例施工图纸的预算计量、计价等单元测试及作业内容，注重学习者的实务实操能力的训练，培养学习者作为造价工程师的业务能力。</w:t>
            </w: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四、课程考核（试）情况（不超过500字）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214" w:type="dxa"/>
          </w:tcPr>
          <w:p>
            <w:pPr>
              <w:rPr>
                <w:rFonts w:ascii="仿宋_GB2312" w:hAnsi="仿宋" w:eastAsia="仿宋_GB2312"/>
                <w:sz w:val="24"/>
                <w:szCs w:val="24"/>
              </w:rPr>
            </w:pPr>
            <w:r>
              <w:rPr>
                <w:rFonts w:hint="eastAsia" w:ascii="仿宋_GB2312" w:hAnsi="仿宋" w:eastAsia="仿宋_GB2312"/>
                <w:sz w:val="24"/>
                <w:szCs w:val="24"/>
              </w:rPr>
              <w:t>[对学习者学习的考核（试）办法，成绩评定方式等。如果为学分认定课，须将附件</w:t>
            </w:r>
            <w:r>
              <w:rPr>
                <w:rFonts w:ascii="仿宋_GB2312" w:hAnsi="仿宋" w:eastAsia="仿宋_GB2312"/>
                <w:sz w:val="24"/>
                <w:szCs w:val="24"/>
              </w:rPr>
              <w:t>3</w:t>
            </w:r>
            <w:r>
              <w:rPr>
                <w:rFonts w:hint="eastAsia" w:ascii="仿宋_GB2312" w:hAnsi="仿宋" w:eastAsia="仿宋_GB2312"/>
                <w:sz w:val="24"/>
                <w:szCs w:val="24"/>
              </w:rPr>
              <w:t>课程数据信息表相应的两期在线试题附后]</w:t>
            </w:r>
          </w:p>
          <w:p>
            <w:pPr>
              <w:ind w:firstLine="480" w:firstLineChars="2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本课程将线上学习纳入课程授课的平时成绩，结合课程的最终期末考试及课程设计的成绩进行学生成绩的综合评价。本课程试行过程考核与结课考核并重，在两部分的考核成绩分值占比上，实行过程考核占总成绩的60%，结课闭卷考核占总成绩的40%，更强调学生的平时积累学习，淡化结课考试前的突击式的复习方式。</w:t>
            </w:r>
          </w:p>
          <w:p>
            <w:pPr>
              <w:ind w:firstLine="480" w:firstLineChars="2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结合工程造价课程设计及工程建设行业实践，布置实务性作业任务</w:t>
            </w:r>
            <w:r>
              <w:rPr>
                <w:rFonts w:hint="default" w:ascii="仿宋_GB2312" w:hAnsi="仿宋" w:eastAsia="仿宋_GB2312"/>
                <w:sz w:val="24"/>
                <w:szCs w:val="24"/>
                <w:lang w:val="en-US" w:eastAsia="zh-CN"/>
              </w:rPr>
              <w:t>→</w:t>
            </w:r>
            <w:r>
              <w:rPr>
                <w:rFonts w:hint="eastAsia" w:ascii="仿宋_GB2312" w:hAnsi="仿宋" w:eastAsia="仿宋_GB2312"/>
                <w:sz w:val="24"/>
                <w:szCs w:val="24"/>
                <w:lang w:val="en-US" w:eastAsia="zh-CN"/>
              </w:rPr>
              <w:t>课上选取学生学习小组汇报作业成果及过程难点</w:t>
            </w:r>
            <w:r>
              <w:rPr>
                <w:rFonts w:hint="default" w:ascii="仿宋_GB2312" w:hAnsi="仿宋" w:eastAsia="仿宋_GB2312"/>
                <w:sz w:val="24"/>
                <w:szCs w:val="24"/>
                <w:lang w:val="en-US" w:eastAsia="zh-CN"/>
              </w:rPr>
              <w:t>→</w:t>
            </w:r>
            <w:r>
              <w:rPr>
                <w:rFonts w:hint="eastAsia" w:ascii="仿宋_GB2312" w:hAnsi="仿宋" w:eastAsia="仿宋_GB2312"/>
                <w:sz w:val="24"/>
                <w:szCs w:val="24"/>
                <w:lang w:val="en-US" w:eastAsia="zh-CN"/>
              </w:rPr>
              <w:t>进行学生提问、互评</w:t>
            </w:r>
            <w:r>
              <w:rPr>
                <w:rFonts w:hint="default" w:ascii="仿宋_GB2312" w:hAnsi="仿宋" w:eastAsia="仿宋_GB2312"/>
                <w:sz w:val="24"/>
                <w:szCs w:val="24"/>
                <w:lang w:val="en-US" w:eastAsia="zh-CN"/>
              </w:rPr>
              <w:t>→</w:t>
            </w:r>
            <w:r>
              <w:rPr>
                <w:rFonts w:hint="eastAsia" w:ascii="仿宋_GB2312" w:hAnsi="仿宋" w:eastAsia="仿宋_GB2312"/>
                <w:sz w:val="24"/>
                <w:szCs w:val="24"/>
                <w:lang w:val="en-US" w:eastAsia="zh-CN"/>
              </w:rPr>
              <w:t>结合中国大学MOOC平台线上学习统计信息及课堂表现给予平时成绩的考核评价。</w:t>
            </w: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31" w:hRule="atLeast"/>
        </w:trPr>
        <w:tc>
          <w:tcPr>
            <w:tcW w:w="9214" w:type="dxa"/>
          </w:tcPr>
          <w:p>
            <w:pPr>
              <w:rPr>
                <w:rFonts w:ascii="仿宋_GB2312" w:hAnsi="仿宋" w:eastAsia="仿宋_GB2312"/>
                <w:sz w:val="24"/>
                <w:szCs w:val="24"/>
              </w:rPr>
            </w:pPr>
            <w:r>
              <w:rPr>
                <w:rFonts w:hint="eastAsia" w:ascii="仿宋_GB2312" w:hAnsi="仿宋" w:eastAsia="仿宋_GB2312"/>
                <w:sz w:val="24"/>
                <w:szCs w:val="24"/>
              </w:rPr>
              <w:t>（在申报高校教学中的应用情况；面向其他高校学生和社会学习者应用情况及效果，其中包括使用课程学校总数、选课总人数、使用课程学校名称等）</w:t>
            </w:r>
          </w:p>
          <w:p>
            <w:pPr>
              <w:rPr>
                <w:rFonts w:hint="default" w:ascii="仿宋_GB2312" w:eastAsia="仿宋_GB2312"/>
                <w:sz w:val="24"/>
                <w:szCs w:val="24"/>
                <w:lang w:val="en-US" w:eastAsia="zh-CN"/>
              </w:rPr>
            </w:pPr>
            <w:r>
              <w:rPr>
                <w:rFonts w:hint="eastAsia" w:ascii="仿宋_GB2312" w:eastAsia="仿宋_GB2312"/>
                <w:sz w:val="24"/>
                <w:szCs w:val="24"/>
                <w:lang w:val="en-US" w:eastAsia="zh-CN"/>
              </w:rPr>
              <w:t xml:space="preserve">    目前，本在线开放课程面向本校学生和社会学习者，并没有具体面向其他高校学生。</w:t>
            </w:r>
          </w:p>
          <w:p>
            <w:pPr>
              <w:ind w:firstLine="480" w:firstLineChars="200"/>
              <w:rPr>
                <w:rFonts w:hint="eastAsia" w:ascii="仿宋_GB2312" w:eastAsia="仿宋_GB2312"/>
                <w:sz w:val="24"/>
                <w:szCs w:val="24"/>
                <w:lang w:val="en-US" w:eastAsia="zh-CN"/>
              </w:rPr>
            </w:pPr>
            <w:r>
              <w:rPr>
                <w:rFonts w:hint="eastAsia" w:ascii="仿宋_GB2312" w:eastAsia="仿宋_GB2312"/>
                <w:sz w:val="24"/>
                <w:szCs w:val="24"/>
                <w:lang w:val="en-US" w:eastAsia="zh-CN"/>
              </w:rPr>
              <w:t>本课程学习者主要集中在高校的工程造价、工程管理、土木工程等相关专业学生群体上。依据中国大学MOOC平台统计数据，2019年3月1日到现在，选课总人数13239人，收藏总人数824人。</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（今后五年继续面向高校和社会开放学习服务计划，包括面向高校的教学应用计划和面向社会开设期次、持续更新和提供教学服务设想等）</w:t>
            </w:r>
          </w:p>
          <w:p>
            <w:pPr>
              <w:ind w:firstLine="480" w:firstLineChars="2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计划面向并推广到应用型本科院校及高等职业技术学院教学，可用作专工程管理、工程造价、土木工程等工程类专业核心课程的有效辅助教学内容或推送课下学习资源，也可用作选修课程的认定。</w:t>
            </w:r>
          </w:p>
          <w:p>
            <w:pPr>
              <w:ind w:firstLine="480" w:firstLineChars="2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计划面向社会开设两期，期间不断的完善本课程的教学体系，探索《工程造价原理》课程的线上教学改革创新，为本课程的使用者及学习者提供理完善的教学资源及教学服务，如在中国大学MOOC平台的慕课堂管理中，新建慕课堂班级（18级工程管理班），与《工程造价原理》在线课程关联，通过学情分析可以获得线下及线上课程学习中，学生整体及个人的数据信息，如下图1所示，内容为视频学习人数分布，而单击某一立柱可以看到每个视频观看学生个人信息，方便我们跟踪掌握每个学生的个性特点、学习行为。</w:t>
            </w:r>
          </w:p>
          <w:p>
            <w:pPr>
              <w:ind w:firstLine="480" w:firstLineChars="200"/>
              <w:rPr>
                <w:rFonts w:hint="default" w:ascii="仿宋_GB2312" w:hAnsi="仿宋" w:eastAsia="仿宋_GB2312"/>
                <w:sz w:val="24"/>
                <w:szCs w:val="24"/>
                <w:lang w:val="en-US" w:eastAsia="zh-CN"/>
              </w:rPr>
            </w:pPr>
            <w:r>
              <w:rPr>
                <w:rFonts w:hint="eastAsia" w:ascii="仿宋_GB2312" w:hAnsi="仿宋" w:eastAsia="仿宋_GB2312"/>
                <w:sz w:val="24"/>
                <w:szCs w:val="24"/>
                <w:lang w:val="en-US" w:eastAsia="zh-CN"/>
              </w:rPr>
              <w:t>具体下一步课程自身建设计划：</w:t>
            </w:r>
          </w:p>
          <w:p>
            <w:pPr>
              <w:ind w:firstLine="480" w:firstLineChars="2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第一，系统整合课程体系及相关资源，调研学生及相关学习者的学习体验及学习需求，组织团队内教师及团队外相关学者进行深入研讨，寻找进一步提升课程质量的方向。</w:t>
            </w:r>
          </w:p>
          <w:p>
            <w:pPr>
              <w:ind w:firstLine="480" w:firstLineChars="2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第二，在原有经验及课程体系基础上，制定完善课程体系规划及相关细节大纲，进行完成进度计划的编制。</w:t>
            </w:r>
          </w:p>
          <w:p>
            <w:pPr>
              <w:ind w:firstLine="480" w:firstLineChars="2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第三，专门研讨各部分教学活动的设计方案，进一步创新完善教学评价方法。</w:t>
            </w:r>
          </w:p>
          <w:p>
            <w:pPr>
              <w:ind w:firstLine="480" w:firstLineChars="2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第四，加强团队建设，吸纳高素质</w:t>
            </w:r>
            <w:bookmarkStart w:id="0" w:name="_GoBack"/>
            <w:bookmarkEnd w:id="0"/>
            <w:r>
              <w:rPr>
                <w:rFonts w:hint="eastAsia" w:ascii="仿宋_GB2312" w:hAnsi="仿宋" w:eastAsia="仿宋_GB2312"/>
                <w:sz w:val="24"/>
                <w:szCs w:val="24"/>
                <w:lang w:val="en-US" w:eastAsia="zh-CN"/>
              </w:rPr>
              <w:t>的青年教师，对现有团队成员加强技术培训。</w:t>
            </w:r>
          </w:p>
          <w:p>
            <w:pPr>
              <w:ind w:firstLine="480" w:firstLineChars="2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第五，加强线上线下课程融合，深化线下翻转课堂的设计。</w:t>
            </w:r>
          </w:p>
          <w:p>
            <w:pPr>
              <w:ind w:firstLine="480" w:firstLineChars="2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第六，加大与线上课程平台技术人员的沟通，提高团队成员的技术操作能力。</w:t>
            </w:r>
          </w:p>
          <w:p>
            <w:pPr>
              <w:ind w:firstLine="480" w:firstLineChars="2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第七，结合线上线下课程运行数据，加大有针对性的学生个体课程学习行为研究，提出并实证有效的学习行为干予措施。</w:t>
            </w:r>
          </w:p>
          <w:p>
            <w:pPr>
              <w:ind w:firstLine="480" w:firstLineChars="200"/>
              <w:rPr>
                <w:rFonts w:ascii="仿宋_GB2312" w:eastAsia="仿宋_GB2312"/>
                <w:sz w:val="24"/>
                <w:szCs w:val="24"/>
              </w:rPr>
            </w:pPr>
            <w:r>
              <w:rPr>
                <w:rFonts w:hint="eastAsia" w:ascii="仿宋_GB2312" w:hAnsi="仿宋" w:eastAsia="仿宋_GB2312"/>
                <w:sz w:val="24"/>
                <w:szCs w:val="24"/>
                <w:lang w:val="en-US" w:eastAsia="zh-CN"/>
              </w:rPr>
              <w:t>第八，尝试加入课程思政及劳动导向教学内容。</w:t>
            </w: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仿宋_GB2312" w:hAnsi="黑体" w:eastAsia="仿宋_GB2312"/>
          <w:sz w:val="24"/>
          <w:szCs w:val="24"/>
        </w:rPr>
      </w:pPr>
    </w:p>
    <w:p>
      <w:pPr>
        <w:rPr>
          <w:rFonts w:ascii="黑体" w:hAnsi="黑体" w:eastAsia="黑体"/>
          <w:sz w:val="28"/>
          <w:szCs w:val="28"/>
        </w:rPr>
      </w:pPr>
      <w:r>
        <w:rPr>
          <w:rFonts w:hint="eastAsia" w:ascii="黑体" w:hAnsi="黑体" w:eastAsia="黑体"/>
          <w:sz w:val="28"/>
          <w:szCs w:val="28"/>
        </w:rPr>
        <w:t>七、附件材料清单</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21" w:hRule="atLeast"/>
        </w:trPr>
        <w:tc>
          <w:tcPr>
            <w:tcW w:w="9214" w:type="dxa"/>
          </w:tcPr>
          <w:p>
            <w:pPr>
              <w:pStyle w:val="18"/>
              <w:spacing w:line="340" w:lineRule="atLeast"/>
              <w:ind w:left="482" w:firstLine="0" w:firstLineChars="0"/>
              <w:rPr>
                <w:rFonts w:ascii="仿宋_GB2312" w:hAnsi="仿宋_GB2312" w:eastAsia="仿宋_GB2312" w:cs="仿宋_GB2312"/>
                <w:b/>
                <w:bCs/>
                <w:sz w:val="24"/>
                <w:szCs w:val="24"/>
              </w:rPr>
            </w:pPr>
            <w:r>
              <w:rPr>
                <w:rFonts w:hint="eastAsia" w:ascii="仿宋_GB2312" w:hAnsi="黑体" w:eastAsia="仿宋_GB2312"/>
                <w:b/>
                <w:sz w:val="24"/>
                <w:szCs w:val="24"/>
              </w:rPr>
              <w:t>1.</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pPr>
              <w:pStyle w:val="1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hint="eastAsia" w:ascii="仿宋_GB2312" w:hAnsi="黑体" w:eastAsia="仿宋_GB2312"/>
                <w:b/>
                <w:sz w:val="24"/>
                <w:szCs w:val="24"/>
              </w:rPr>
              <w:t>2.课程内容学术性评价意见</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3.课程数据信息表</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（按照规定格式提供，须课程平台单位盖章。）</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4.校外评价意见</w:t>
            </w:r>
            <w:r>
              <w:rPr>
                <w:rFonts w:hint="eastAsia" w:ascii="仿宋_GB2312" w:hAnsi="仿宋" w:eastAsia="仿宋_GB2312"/>
                <w:b/>
                <w:sz w:val="24"/>
                <w:szCs w:val="24"/>
              </w:rPr>
              <w:t>（选择性提供）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ind w:firstLine="480" w:firstLineChars="200"/>
              <w:rPr>
                <w:rFonts w:ascii="仿宋_GB2312" w:hAnsi="仿宋" w:eastAsia="仿宋_GB2312"/>
                <w:sz w:val="24"/>
                <w:szCs w:val="24"/>
              </w:rPr>
            </w:pPr>
          </w:p>
        </w:tc>
      </w:tr>
    </w:tbl>
    <w:p>
      <w:pPr>
        <w:pStyle w:val="14"/>
        <w:ind w:firstLine="480"/>
        <w:rPr>
          <w:sz w:val="24"/>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altName w:val="方正舒体"/>
    <w:panose1 w:val="00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sdt>
      <w:sdtPr>
        <w:id w:val="15187993"/>
      </w:sdtPr>
      <w:sdtContent/>
    </w:sdt>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CD3CC1"/>
    <w:multiLevelType w:val="singleLevel"/>
    <w:tmpl w:val="52CD3CC1"/>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3F3754"/>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582F"/>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4342085"/>
    <w:rsid w:val="34EF5545"/>
    <w:rsid w:val="353140BF"/>
    <w:rsid w:val="357545BA"/>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ABC70EB"/>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unhideWhenUsed/>
    <w:qFormat/>
    <w:uiPriority w:val="99"/>
    <w:pPr>
      <w:jc w:val="left"/>
    </w:pPr>
  </w:style>
  <w:style w:type="paragraph" w:styleId="3">
    <w:name w:val="Balloon Text"/>
    <w:basedOn w:val="1"/>
    <w:link w:val="15"/>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unhideWhenUsed/>
    <w:qFormat/>
    <w:uiPriority w:val="99"/>
    <w:rPr>
      <w:b/>
      <w:bCs/>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0">
    <w:name w:val="Hyperlink"/>
    <w:basedOn w:val="9"/>
    <w:uiPriority w:val="0"/>
    <w:rPr>
      <w:color w:val="0000FF"/>
      <w:u w:val="single"/>
    </w:rPr>
  </w:style>
  <w:style w:type="character" w:styleId="11">
    <w:name w:val="annotation reference"/>
    <w:basedOn w:val="9"/>
    <w:unhideWhenUsed/>
    <w:qFormat/>
    <w:uiPriority w:val="99"/>
    <w:rPr>
      <w:sz w:val="21"/>
      <w:szCs w:val="21"/>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paragraph" w:customStyle="1" w:styleId="14">
    <w:name w:val="列出段落1"/>
    <w:basedOn w:val="1"/>
    <w:qFormat/>
    <w:uiPriority w:val="34"/>
    <w:pPr>
      <w:ind w:firstLine="420" w:firstLineChars="200"/>
    </w:pPr>
  </w:style>
  <w:style w:type="character" w:customStyle="1" w:styleId="15">
    <w:name w:val="批注框文本 Char"/>
    <w:basedOn w:val="9"/>
    <w:link w:val="3"/>
    <w:semiHidden/>
    <w:qFormat/>
    <w:uiPriority w:val="99"/>
    <w:rPr>
      <w:sz w:val="18"/>
      <w:szCs w:val="18"/>
    </w:rPr>
  </w:style>
  <w:style w:type="character" w:customStyle="1" w:styleId="16">
    <w:name w:val="批注文字 Char"/>
    <w:basedOn w:val="9"/>
    <w:link w:val="2"/>
    <w:semiHidden/>
    <w:qFormat/>
    <w:uiPriority w:val="99"/>
  </w:style>
  <w:style w:type="character" w:customStyle="1" w:styleId="17">
    <w:name w:val="批注主题 Char"/>
    <w:basedOn w:val="16"/>
    <w:link w:val="6"/>
    <w:semiHidden/>
    <w:qFormat/>
    <w:uiPriority w:val="99"/>
    <w:rPr>
      <w:b/>
      <w:bCs/>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F68153-FF95-4E21-8561-CEC7F5617AF7}">
  <ds:schemaRefs/>
</ds:datastoreItem>
</file>

<file path=docProps/app.xml><?xml version="1.0" encoding="utf-8"?>
<Properties xmlns="http://schemas.openxmlformats.org/officeDocument/2006/extended-properties" xmlns:vt="http://schemas.openxmlformats.org/officeDocument/2006/docPropsVTypes">
  <Template>Normal.dotm</Template>
  <Company>gjs</Company>
  <Pages>6</Pages>
  <Words>349</Words>
  <Characters>1993</Characters>
  <Lines>16</Lines>
  <Paragraphs>4</Paragraphs>
  <TotalTime>8</TotalTime>
  <ScaleCrop>false</ScaleCrop>
  <LinksUpToDate>false</LinksUpToDate>
  <CharactersWithSpaces>2338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2021-04-09T08:44:00Z</dcterms:created>
  <dc:creator>a</dc:creator>
  <cp:lastModifiedBy>Y</cp:lastModifiedBy>
  <cp:lastPrinted>2019-06-26T08:25:00Z</cp:lastPrinted>
  <dcterms:modified xsi:type="dcterms:W3CDTF">2021-05-13T01:15:39Z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3F399D623A324534AB5745E065A04F48</vt:lpwstr>
  </property>
</Properties>
</file>