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rPr>
          <w:rFonts w:ascii="黑体" w:hAnsi="黑体" w:eastAsia="黑体"/>
          <w:sz w:val="32"/>
          <w:szCs w:val="32"/>
        </w:rPr>
      </w:pPr>
      <w:r>
        <w:rPr>
          <w:rFonts w:hint="eastAsia" w:ascii="黑体" w:hAnsi="黑体" w:eastAsia="黑体"/>
          <w:sz w:val="32"/>
          <w:szCs w:val="32"/>
        </w:rPr>
        <w:t>附件5</w:t>
      </w:r>
    </w:p>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r>
        <w:rPr>
          <w:rFonts w:hint="eastAsia" w:ascii="方正小标宋简体" w:hAnsi="方正小标宋_GBK" w:eastAsia="方正小标宋简体" w:cs="Times New Roman"/>
          <w:kern w:val="0"/>
          <w:sz w:val="44"/>
          <w:szCs w:val="44"/>
        </w:rPr>
        <w:t>第二批国家</w:t>
      </w:r>
      <w:r>
        <w:rPr>
          <w:rFonts w:ascii="方正小标宋简体" w:hAnsi="方正小标宋_GBK" w:eastAsia="方正小标宋简体" w:cs="Times New Roman"/>
          <w:kern w:val="0"/>
          <w:sz w:val="44"/>
          <w:szCs w:val="44"/>
        </w:rPr>
        <w:t>级</w:t>
      </w:r>
      <w:r>
        <w:rPr>
          <w:rFonts w:hint="eastAsia" w:ascii="方正小标宋简体" w:hAnsi="方正小标宋_GBK" w:eastAsia="方正小标宋简体" w:cs="Times New Roman"/>
          <w:kern w:val="0"/>
          <w:sz w:val="44"/>
          <w:szCs w:val="44"/>
        </w:rPr>
        <w:t>一流本科课程申报书</w:t>
      </w:r>
    </w:p>
    <w:p>
      <w:pPr>
        <w:spacing w:line="288" w:lineRule="auto"/>
        <w:jc w:val="center"/>
        <w:rPr>
          <w:rFonts w:ascii="方正小标宋简体" w:hAnsi="仿宋" w:eastAsia="方正小标宋简体"/>
          <w:sz w:val="44"/>
          <w:szCs w:val="44"/>
        </w:rPr>
      </w:pPr>
      <w:r>
        <w:rPr>
          <w:rFonts w:ascii="方正小标宋简体" w:hAnsi="仿宋" w:eastAsia="方正小标宋简体"/>
          <w:sz w:val="44"/>
          <w:szCs w:val="44"/>
        </w:rPr>
        <w:t>（</w:t>
      </w:r>
      <w:r>
        <w:rPr>
          <w:rFonts w:hint="eastAsia" w:ascii="方正小标宋简体" w:hAnsi="仿宋" w:eastAsia="方正小标宋简体"/>
          <w:sz w:val="44"/>
          <w:szCs w:val="44"/>
        </w:rPr>
        <w:t>虚拟仿真</w:t>
      </w:r>
      <w:r>
        <w:rPr>
          <w:rFonts w:ascii="方正小标宋简体" w:hAnsi="仿宋" w:eastAsia="方正小标宋简体"/>
          <w:sz w:val="44"/>
          <w:szCs w:val="44"/>
        </w:rPr>
        <w:t>实验教学课程）</w:t>
      </w:r>
    </w:p>
    <w:p>
      <w:pPr>
        <w:spacing w:line="288" w:lineRule="auto"/>
        <w:jc w:val="left"/>
        <w:rPr>
          <w:rFonts w:ascii="仿宋" w:hAnsi="仿宋" w:eastAsia="仿宋"/>
          <w:sz w:val="32"/>
          <w:szCs w:val="32"/>
        </w:rPr>
      </w:pPr>
    </w:p>
    <w:p>
      <w:pPr>
        <w:spacing w:line="288" w:lineRule="auto"/>
        <w:jc w:val="left"/>
        <w:rPr>
          <w:rFonts w:ascii="仿宋" w:hAnsi="仿宋" w:eastAsia="仿宋"/>
          <w:sz w:val="32"/>
          <w:szCs w:val="32"/>
        </w:rPr>
      </w:pPr>
    </w:p>
    <w:p>
      <w:pPr>
        <w:spacing w:line="560" w:lineRule="exact"/>
        <w:ind w:right="28" w:firstLine="1280" w:firstLineChars="400"/>
        <w:rPr>
          <w:rFonts w:ascii="黑体" w:hAnsi="黑体" w:eastAsia="黑体"/>
          <w:sz w:val="32"/>
          <w:szCs w:val="36"/>
        </w:rPr>
      </w:pPr>
    </w:p>
    <w:p>
      <w:pPr>
        <w:spacing w:line="560" w:lineRule="exact"/>
        <w:ind w:right="28" w:firstLine="1280" w:firstLineChars="400"/>
        <w:rPr>
          <w:rFonts w:ascii="黑体" w:hAnsi="黑体" w:eastAsia="黑体"/>
          <w:sz w:val="32"/>
          <w:szCs w:val="36"/>
        </w:rPr>
      </w:pP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课程名称：材料力学</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w:t>
      </w:r>
      <w:r>
        <w:rPr>
          <w:rFonts w:ascii="黑体" w:hAnsi="黑体" w:eastAsia="黑体"/>
          <w:sz w:val="32"/>
          <w:szCs w:val="36"/>
        </w:rPr>
        <w:t>0802</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负责人：王胜曼</w:t>
      </w: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联系电话：15631251912</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申报学校：保定理工学院</w:t>
      </w:r>
    </w:p>
    <w:p>
      <w:pPr>
        <w:spacing w:line="288" w:lineRule="auto"/>
        <w:ind w:firstLine="1280" w:firstLineChars="400"/>
        <w:jc w:val="left"/>
        <w:rPr>
          <w:rFonts w:ascii="黑体" w:hAnsi="黑体" w:eastAsia="黑体"/>
          <w:sz w:val="32"/>
          <w:szCs w:val="36"/>
        </w:rPr>
      </w:pPr>
      <w:r>
        <w:rPr>
          <w:rFonts w:hint="eastAsia" w:ascii="黑体" w:hAnsi="黑体" w:eastAsia="黑体"/>
          <w:sz w:val="32"/>
          <w:szCs w:val="36"/>
        </w:rPr>
        <w:t>填表日期：2021.05.10</w:t>
      </w:r>
    </w:p>
    <w:p>
      <w:pPr>
        <w:spacing w:line="288" w:lineRule="auto"/>
        <w:ind w:firstLine="1280" w:firstLineChars="400"/>
        <w:jc w:val="left"/>
        <w:rPr>
          <w:rFonts w:ascii="仿宋" w:hAnsi="仿宋" w:eastAsia="仿宋"/>
          <w:sz w:val="32"/>
          <w:szCs w:val="32"/>
        </w:rPr>
      </w:pPr>
      <w:r>
        <w:rPr>
          <w:rFonts w:ascii="黑体" w:hAnsi="黑体" w:eastAsia="黑体"/>
          <w:sz w:val="32"/>
          <w:szCs w:val="36"/>
        </w:rPr>
        <w:t>推荐</w:t>
      </w:r>
      <w:r>
        <w:rPr>
          <w:rFonts w:hint="eastAsia" w:ascii="黑体" w:hAnsi="黑体" w:eastAsia="黑体"/>
          <w:sz w:val="32"/>
          <w:szCs w:val="36"/>
        </w:rPr>
        <w:t>单位：</w:t>
      </w:r>
    </w:p>
    <w:p>
      <w:pPr>
        <w:spacing w:line="288" w:lineRule="auto"/>
        <w:jc w:val="left"/>
        <w:rPr>
          <w:rFonts w:ascii="仿宋" w:hAnsi="仿宋" w:eastAsia="仿宋"/>
          <w:sz w:val="32"/>
          <w:szCs w:val="32"/>
        </w:rPr>
      </w:pPr>
      <w:bookmarkStart w:id="0" w:name="_GoBack"/>
      <w:bookmarkEnd w:id="0"/>
    </w:p>
    <w:p>
      <w:pPr>
        <w:spacing w:line="288" w:lineRule="auto"/>
        <w:jc w:val="left"/>
        <w:rPr>
          <w:rFonts w:ascii="仿宋" w:hAnsi="仿宋" w:eastAsia="仿宋"/>
          <w:sz w:val="32"/>
          <w:szCs w:val="32"/>
        </w:rPr>
      </w:pPr>
    </w:p>
    <w:p>
      <w:pPr>
        <w:snapToGrid w:val="0"/>
        <w:spacing w:line="240" w:lineRule="atLeast"/>
        <w:jc w:val="center"/>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pacing w:line="288" w:lineRule="auto"/>
        <w:jc w:val="center"/>
        <w:rPr>
          <w:rFonts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ascii="黑体" w:hAnsi="黑体" w:eastAsia="黑体"/>
          <w:sz w:val="32"/>
          <w:szCs w:val="32"/>
        </w:rPr>
        <w:t>二○二</w:t>
      </w:r>
      <w:r>
        <w:rPr>
          <w:rFonts w:hint="eastAsia" w:ascii="黑体" w:hAnsi="黑体" w:eastAsia="黑体"/>
          <w:sz w:val="32"/>
          <w:szCs w:val="32"/>
        </w:rPr>
        <w:t>一</w:t>
      </w:r>
      <w:r>
        <w:rPr>
          <w:rFonts w:ascii="黑体" w:hAnsi="黑体" w:eastAsia="黑体"/>
          <w:sz w:val="32"/>
          <w:szCs w:val="32"/>
        </w:rPr>
        <w:t>年</w:t>
      </w:r>
      <w:r>
        <w:rPr>
          <w:rFonts w:hint="eastAsia" w:ascii="黑体" w:hAnsi="黑体" w:eastAsia="黑体"/>
          <w:sz w:val="32"/>
          <w:szCs w:val="32"/>
        </w:rPr>
        <w:t>四</w:t>
      </w:r>
      <w:r>
        <w:rPr>
          <w:rFonts w:ascii="黑体" w:hAnsi="黑体" w:eastAsia="黑体"/>
          <w:sz w:val="32"/>
          <w:szCs w:val="32"/>
        </w:rPr>
        <w:t>月</w:t>
      </w:r>
    </w:p>
    <w:p>
      <w:pPr>
        <w:spacing w:line="288" w:lineRule="auto"/>
        <w:jc w:val="left"/>
        <w:rPr>
          <w:rFonts w:ascii="仿宋" w:hAnsi="仿宋" w:eastAsia="仿宋"/>
          <w:sz w:val="32"/>
          <w:szCs w:val="32"/>
        </w:rPr>
      </w:pPr>
    </w:p>
    <w:p>
      <w:pPr>
        <w:spacing w:line="288" w:lineRule="auto"/>
        <w:jc w:val="center"/>
        <w:rPr>
          <w:rFonts w:ascii="方正小标宋简体" w:hAnsi="仿宋" w:eastAsia="方正小标宋简体"/>
          <w:sz w:val="36"/>
          <w:szCs w:val="36"/>
        </w:rPr>
      </w:pPr>
      <w:r>
        <w:rPr>
          <w:rFonts w:hint="eastAsia" w:ascii="方正小标宋简体" w:hAnsi="仿宋" w:eastAsia="方正小标宋简体"/>
          <w:sz w:val="36"/>
          <w:szCs w:val="36"/>
        </w:rPr>
        <w:t>填报说明</w:t>
      </w:r>
    </w:p>
    <w:p>
      <w:pPr>
        <w:spacing w:line="288" w:lineRule="auto"/>
        <w:jc w:val="left"/>
        <w:rPr>
          <w:rFonts w:ascii="仿宋" w:hAnsi="仿宋" w:eastAsia="仿宋"/>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20</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2.文中○为单选；□可多选。</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3.团队主要成员一般为近5年内讲授该课程教师。</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具有防伪标识的申报书及申报材料</w:t>
      </w:r>
      <w:r>
        <w:rPr>
          <w:rFonts w:hint="eastAsia" w:ascii="Times New Roman" w:hAnsi="Times New Roman" w:eastAsia="仿宋_GB2312" w:cs="Times New Roman"/>
          <w:sz w:val="32"/>
          <w:szCs w:val="32"/>
        </w:rPr>
        <w:t>由推荐单位</w:t>
      </w:r>
      <w:r>
        <w:rPr>
          <w:rFonts w:ascii="Times New Roman" w:hAnsi="Times New Roman" w:eastAsia="仿宋_GB2312" w:cs="Times New Roman"/>
          <w:sz w:val="32"/>
          <w:szCs w:val="32"/>
        </w:rPr>
        <w:t>打印</w:t>
      </w:r>
      <w:r>
        <w:rPr>
          <w:rFonts w:hint="eastAsia" w:ascii="Times New Roman" w:hAnsi="Times New Roman" w:eastAsia="仿宋_GB2312" w:cs="Times New Roman"/>
          <w:sz w:val="32"/>
          <w:szCs w:val="32"/>
        </w:rPr>
        <w:t>留存备查</w:t>
      </w:r>
      <w:r>
        <w:rPr>
          <w:rFonts w:ascii="Times New Roman" w:hAnsi="Times New Roman" w:eastAsia="仿宋_GB2312" w:cs="Times New Roman"/>
          <w:sz w:val="32"/>
          <w:szCs w:val="32"/>
        </w:rPr>
        <w:t>，国家级评审以网络提交的电子版为准。</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6.涉密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jc w:val="left"/>
        <w:rPr>
          <w:rFonts w:ascii="Times New Roman" w:hAnsi="Times New Roman" w:eastAsia="仿宋_GB2312"/>
          <w:sz w:val="32"/>
          <w:szCs w:val="32"/>
        </w:rPr>
      </w:pPr>
    </w:p>
    <w:p>
      <w:pPr>
        <w:spacing w:line="288" w:lineRule="auto"/>
        <w:jc w:val="left"/>
        <w:rPr>
          <w:rFonts w:ascii="仿宋_GB2312" w:hAnsi="仿宋" w:eastAsia="仿宋_GB2312"/>
          <w:sz w:val="32"/>
          <w:szCs w:val="32"/>
        </w:rPr>
      </w:pPr>
    </w:p>
    <w:p>
      <w:pPr>
        <w:pStyle w:val="15"/>
        <w:numPr>
          <w:ilvl w:val="255"/>
          <w:numId w:val="0"/>
        </w:numPr>
        <w:spacing w:after="0"/>
        <w:rPr>
          <w:color w:val="auto"/>
        </w:rPr>
      </w:pPr>
      <w:r>
        <w:rPr>
          <w:color w:val="auto"/>
        </w:rPr>
        <w:br w:type="page"/>
      </w:r>
      <w:r>
        <w:rPr>
          <w:rFonts w:hint="eastAsia"/>
          <w:color w:val="auto"/>
        </w:rPr>
        <w:t>1.</w:t>
      </w:r>
      <w:r>
        <w:rPr>
          <w:color w:val="auto"/>
        </w:rPr>
        <w:t>基本情况</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12"/>
        <w:gridCol w:w="3370"/>
        <w:gridCol w:w="1711"/>
        <w:gridCol w:w="15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实验名称</w:t>
            </w:r>
          </w:p>
        </w:tc>
        <w:tc>
          <w:tcPr>
            <w:tcW w:w="3370"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滚动轴承应力应变仿真实验</w:t>
            </w:r>
          </w:p>
        </w:tc>
        <w:tc>
          <w:tcPr>
            <w:tcW w:w="1711"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是否曾被推荐</w:t>
            </w:r>
          </w:p>
        </w:tc>
        <w:tc>
          <w:tcPr>
            <w:tcW w:w="1541" w:type="dxa"/>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cs="黑体"/>
                <w:sz w:val="24"/>
                <w:szCs w:val="24"/>
              </w:rPr>
              <w:t>是</w:t>
            </w:r>
            <w:r>
              <w:rPr>
                <w:rFonts w:hint="eastAsia" w:ascii="仿宋_GB2312" w:eastAsia="仿宋_GB2312" w:hAnsiTheme="majorEastAsia"/>
                <w:sz w:val="24"/>
                <w:szCs w:val="24"/>
              </w:rPr>
              <w:t>●</w:t>
            </w:r>
            <w:r>
              <w:rPr>
                <w:rFonts w:hint="eastAsia" w:ascii="仿宋_GB2312" w:hAnsi="黑体" w:eastAsia="仿宋_GB2312" w:cs="黑体"/>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实验所属课程(可填多个)</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 xml:space="preserve">材料力学、机械设计、工程材料、三维造型设计、有限元仿真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性质</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独立实验课 </w:t>
            </w:r>
            <w:r>
              <w:rPr>
                <w:rFonts w:hint="eastAsia" w:ascii="仿宋_GB2312" w:eastAsia="仿宋_GB2312" w:hAnsiTheme="majorEastAsia"/>
                <w:sz w:val="24"/>
                <w:szCs w:val="24"/>
              </w:rPr>
              <w:t>●</w:t>
            </w:r>
            <w:r>
              <w:rPr>
                <w:rFonts w:hint="eastAsia" w:ascii="仿宋_GB2312" w:hAnsi="黑体" w:eastAsia="仿宋_GB2312"/>
                <w:kern w:val="0"/>
                <w:sz w:val="24"/>
                <w:szCs w:val="24"/>
              </w:rPr>
              <w:t>课程实验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实验对应专业</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机械设计制造及其自动化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实验类型</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基础练习型 </w:t>
            </w: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综合设计型 </w:t>
            </w: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研究探索型 </w:t>
            </w:r>
            <w:r>
              <w:rPr>
                <w:rFonts w:hint="eastAsia" w:ascii="仿宋_GB2312" w:eastAsia="仿宋_GB2312" w:hAnsiTheme="majorEastAsia"/>
                <w:sz w:val="24"/>
                <w:szCs w:val="24"/>
              </w:rPr>
              <w:t>○</w:t>
            </w:r>
            <w:r>
              <w:rPr>
                <w:rFonts w:hint="eastAsia" w:ascii="仿宋_GB2312" w:hAnsi="黑体" w:eastAsia="仿宋_GB2312"/>
                <w:kern w:val="0"/>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虚拟仿真必要性</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□高危或极端环境 ■高成本、高消耗 ■不可逆操作</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■大型综合训练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实验语言</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中文  </w:t>
            </w:r>
          </w:p>
          <w:p>
            <w:pPr>
              <w:spacing w:line="360" w:lineRule="auto"/>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中文+外文字幕（语种） </w:t>
            </w:r>
            <w:r>
              <w:rPr>
                <w:rFonts w:hint="eastAsia" w:ascii="仿宋_GB2312" w:eastAsia="仿宋_GB2312" w:hAnsiTheme="majorEastAsia"/>
                <w:sz w:val="24"/>
                <w:szCs w:val="24"/>
              </w:rPr>
              <w:t>○</w:t>
            </w:r>
            <w:r>
              <w:rPr>
                <w:rFonts w:hint="eastAsia" w:ascii="仿宋_GB2312" w:hAnsi="黑体" w:eastAsia="仿宋_GB2312"/>
                <w:kern w:val="0"/>
                <w:sz w:val="24"/>
                <w:szCs w:val="24"/>
              </w:rPr>
              <w:t>外文（语种）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实验已开设期次</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共 2 次：</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1．2018-2019-2学期，155人</w:t>
            </w:r>
          </w:p>
          <w:p>
            <w:pPr>
              <w:spacing w:line="360" w:lineRule="auto"/>
              <w:rPr>
                <w:rFonts w:ascii="仿宋_GB2312" w:hAnsi="黑体" w:eastAsia="仿宋_GB2312"/>
                <w:kern w:val="0"/>
                <w:sz w:val="24"/>
                <w:szCs w:val="24"/>
                <w:u w:val="single"/>
              </w:rPr>
            </w:pPr>
            <w:r>
              <w:rPr>
                <w:rFonts w:hint="eastAsia" w:ascii="仿宋_GB2312" w:hAnsi="黑体" w:eastAsia="仿宋_GB2312"/>
                <w:kern w:val="0"/>
                <w:sz w:val="24"/>
                <w:szCs w:val="24"/>
              </w:rPr>
              <w:t>2. 2019-2020-2学期，154人</w:t>
            </w:r>
          </w:p>
          <w:p>
            <w:pPr>
              <w:spacing w:line="360" w:lineRule="auto"/>
              <w:rPr>
                <w:rFonts w:ascii="仿宋_GB2312" w:hAnsi="黑体" w:eastAsia="仿宋_GB2312"/>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有效链接网址</w:t>
            </w:r>
          </w:p>
        </w:tc>
        <w:tc>
          <w:tcPr>
            <w:tcW w:w="6622" w:type="dxa"/>
            <w:gridSpan w:val="3"/>
            <w:shd w:val="clear" w:color="auto" w:fill="auto"/>
            <w:vAlign w:val="center"/>
          </w:tcPr>
          <w:p>
            <w:pPr>
              <w:rPr>
                <w:rFonts w:ascii="仿宋_GB2312" w:hAnsi="楷体" w:eastAsia="仿宋_GB2312"/>
                <w:color w:val="FF0000"/>
                <w:kern w:val="0"/>
                <w:sz w:val="24"/>
                <w:szCs w:val="24"/>
              </w:rPr>
            </w:pPr>
            <w:r>
              <w:rPr>
                <w:rFonts w:hint="eastAsia" w:ascii="仿宋_GB2312" w:hAnsi="楷体" w:eastAsia="仿宋_GB2312"/>
                <w:color w:val="FF0000"/>
                <w:kern w:val="0"/>
                <w:sz w:val="24"/>
                <w:szCs w:val="24"/>
              </w:rPr>
              <w:t>（要求填写标准URL格式的实验入口网页，不允许仅为文件下载链接）</w:t>
            </w:r>
          </w:p>
        </w:tc>
      </w:tr>
    </w:tbl>
    <w:p>
      <w:pPr>
        <w:spacing w:before="260" w:line="416" w:lineRule="auto"/>
        <w:jc w:val="left"/>
        <w:rPr>
          <w:rFonts w:ascii="仿宋_GB2312" w:hAnsi="黑体" w:eastAsia="仿宋_GB2312" w:cs="Times New Roman"/>
          <w:sz w:val="28"/>
        </w:rPr>
      </w:pPr>
      <w:r>
        <w:rPr>
          <w:rFonts w:hint="eastAsia" w:ascii="黑体" w:hAnsi="黑体" w:eastAsia="黑体" w:cs="Times New Roman"/>
          <w:sz w:val="28"/>
        </w:rPr>
        <w:t>2.教学服务团</w:t>
      </w:r>
      <w:r>
        <w:rPr>
          <w:rFonts w:hint="eastAsia" w:ascii="仿宋_GB2312" w:hAnsi="黑体" w:eastAsia="仿宋_GB2312" w:cs="Times New Roman"/>
          <w:b/>
          <w:sz w:val="28"/>
        </w:rPr>
        <w:t>队情况</w:t>
      </w:r>
    </w:p>
    <w:tbl>
      <w:tblPr>
        <w:tblStyle w:val="8"/>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850"/>
        <w:gridCol w:w="651"/>
        <w:gridCol w:w="342"/>
        <w:gridCol w:w="1275"/>
        <w:gridCol w:w="709"/>
        <w:gridCol w:w="851"/>
        <w:gridCol w:w="403"/>
        <w:gridCol w:w="600"/>
        <w:gridCol w:w="338"/>
        <w:gridCol w:w="927"/>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2-1 团队主要成员（含负责人，总人数限5人以内）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8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993"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127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709"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85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职称</w:t>
            </w:r>
          </w:p>
        </w:tc>
        <w:tc>
          <w:tcPr>
            <w:tcW w:w="1003"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手机号码</w:t>
            </w:r>
          </w:p>
        </w:tc>
        <w:tc>
          <w:tcPr>
            <w:tcW w:w="1265"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电子邮箱</w:t>
            </w:r>
          </w:p>
        </w:tc>
        <w:tc>
          <w:tcPr>
            <w:tcW w:w="124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40"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1</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王胜曼</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1977.3</w:t>
            </w:r>
          </w:p>
        </w:tc>
        <w:tc>
          <w:tcPr>
            <w:tcW w:w="1275"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保定理工学院</w:t>
            </w:r>
          </w:p>
        </w:tc>
        <w:tc>
          <w:tcPr>
            <w:tcW w:w="709"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教师</w:t>
            </w:r>
          </w:p>
        </w:tc>
        <w:tc>
          <w:tcPr>
            <w:tcW w:w="85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1563125</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1912</w:t>
            </w:r>
          </w:p>
        </w:tc>
        <w:tc>
          <w:tcPr>
            <w:tcW w:w="1265" w:type="dxa"/>
            <w:gridSpan w:val="2"/>
            <w:vAlign w:val="center"/>
          </w:tcPr>
          <w:p>
            <w:pPr>
              <w:tabs>
                <w:tab w:val="left" w:pos="2219"/>
              </w:tabs>
              <w:suppressAutoHyphens/>
              <w:ind w:right="-692"/>
              <w:jc w:val="left"/>
              <w:rPr>
                <w:rFonts w:ascii="仿宋_GB2312" w:hAnsi="黑体" w:eastAsia="仿宋_GB2312"/>
                <w:bCs/>
                <w:sz w:val="24"/>
                <w:szCs w:val="24"/>
              </w:rPr>
            </w:pPr>
            <w:r>
              <w:rPr>
                <w:rFonts w:hint="eastAsia" w:ascii="仿宋_GB2312" w:hAnsi="黑体" w:eastAsia="仿宋_GB2312"/>
                <w:bCs/>
                <w:sz w:val="24"/>
                <w:szCs w:val="24"/>
              </w:rPr>
              <w:t>102553698</w:t>
            </w:r>
          </w:p>
          <w:p>
            <w:pPr>
              <w:tabs>
                <w:tab w:val="left" w:pos="2219"/>
              </w:tabs>
              <w:suppressAutoHyphens/>
              <w:ind w:right="-692"/>
              <w:jc w:val="left"/>
              <w:rPr>
                <w:rFonts w:ascii="仿宋_GB2312" w:hAnsi="黑体" w:eastAsia="仿宋_GB2312"/>
                <w:bCs/>
                <w:sz w:val="24"/>
                <w:szCs w:val="24"/>
              </w:rPr>
            </w:pPr>
            <w:r>
              <w:rPr>
                <w:rFonts w:hint="eastAsia" w:ascii="仿宋_GB2312" w:hAnsi="黑体" w:eastAsia="仿宋_GB2312"/>
                <w:bCs/>
                <w:sz w:val="24"/>
                <w:szCs w:val="24"/>
              </w:rPr>
              <w:t>3@qq.com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的设计、教</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学服务人员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2</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孙晓燕</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1982.9</w:t>
            </w:r>
          </w:p>
        </w:tc>
        <w:tc>
          <w:tcPr>
            <w:tcW w:w="1275"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保定理工学院</w:t>
            </w:r>
          </w:p>
        </w:tc>
        <w:tc>
          <w:tcPr>
            <w:tcW w:w="709"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教师</w:t>
            </w:r>
          </w:p>
        </w:tc>
        <w:tc>
          <w:tcPr>
            <w:tcW w:w="851"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1891010</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2782</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69382186</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实验报告</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的编写、教</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学服务人员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1"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3</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牛博英</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1979.1</w:t>
            </w:r>
          </w:p>
        </w:tc>
        <w:tc>
          <w:tcPr>
            <w:tcW w:w="1275"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保定理工学院</w:t>
            </w:r>
          </w:p>
        </w:tc>
        <w:tc>
          <w:tcPr>
            <w:tcW w:w="709"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教师</w:t>
            </w:r>
          </w:p>
        </w:tc>
        <w:tc>
          <w:tcPr>
            <w:tcW w:w="851"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1367322</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1865</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649096705</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仿真实验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的运行、</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教学服务</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4</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张建华</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1981.5</w:t>
            </w:r>
          </w:p>
        </w:tc>
        <w:tc>
          <w:tcPr>
            <w:tcW w:w="1275"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保定理工学院</w:t>
            </w:r>
          </w:p>
        </w:tc>
        <w:tc>
          <w:tcPr>
            <w:tcW w:w="709"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教师</w:t>
            </w:r>
          </w:p>
        </w:tc>
        <w:tc>
          <w:tcPr>
            <w:tcW w:w="851"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1563152</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1529</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448980842</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学生答疑、</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教学服务</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left"/>
              <w:rPr>
                <w:rFonts w:ascii="仿宋_GB2312" w:hAnsi="黑体" w:eastAsia="仿宋_GB2312"/>
                <w:bCs/>
                <w:sz w:val="24"/>
                <w:szCs w:val="24"/>
              </w:rPr>
            </w:pPr>
            <w:r>
              <w:rPr>
                <w:rFonts w:hint="eastAsia" w:ascii="仿宋_GB2312" w:hAnsi="黑体" w:eastAsia="仿宋_GB2312"/>
                <w:bCs/>
                <w:sz w:val="24"/>
                <w:szCs w:val="24"/>
              </w:rPr>
              <w:t>5</w:t>
            </w:r>
          </w:p>
        </w:tc>
        <w:tc>
          <w:tcPr>
            <w:tcW w:w="850"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王南</w:t>
            </w:r>
          </w:p>
        </w:tc>
        <w:tc>
          <w:tcPr>
            <w:tcW w:w="99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1988.5</w:t>
            </w:r>
          </w:p>
        </w:tc>
        <w:tc>
          <w:tcPr>
            <w:tcW w:w="1275"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保定理工学院</w:t>
            </w:r>
          </w:p>
        </w:tc>
        <w:tc>
          <w:tcPr>
            <w:tcW w:w="709"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教师</w:t>
            </w:r>
          </w:p>
        </w:tc>
        <w:tc>
          <w:tcPr>
            <w:tcW w:w="851" w:type="dxa"/>
            <w:vAlign w:val="center"/>
          </w:tcPr>
          <w:p>
            <w:pPr>
              <w:jc w:val="center"/>
              <w:rPr>
                <w:rFonts w:ascii="仿宋_GB2312" w:hAnsi="仿宋_GB2312" w:eastAsia="仿宋_GB2312" w:cs="仿宋_GB2312"/>
                <w:sz w:val="24"/>
                <w:szCs w:val="24"/>
              </w:rPr>
            </w:pPr>
            <w:r>
              <w:rPr>
                <w:rFonts w:hint="eastAsia" w:ascii="仿宋_GB2312" w:hAnsi="仿宋_GB2312" w:eastAsia="仿宋_GB2312" w:cs="仿宋_GB2312"/>
                <w:sz w:val="24"/>
                <w:szCs w:val="24"/>
              </w:rPr>
              <w:t>讲师</w:t>
            </w:r>
          </w:p>
        </w:tc>
        <w:tc>
          <w:tcPr>
            <w:tcW w:w="1003"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1590312</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7219</w:t>
            </w:r>
          </w:p>
        </w:tc>
        <w:tc>
          <w:tcPr>
            <w:tcW w:w="1265" w:type="dxa"/>
            <w:gridSpan w:val="2"/>
            <w:vAlign w:val="center"/>
          </w:tcPr>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121735690</w:t>
            </w:r>
          </w:p>
          <w:p>
            <w:pPr>
              <w:tabs>
                <w:tab w:val="left" w:pos="2219"/>
              </w:tabs>
              <w:suppressAutoHyphens/>
              <w:spacing w:line="288" w:lineRule="auto"/>
              <w:ind w:right="-692"/>
              <w:jc w:val="left"/>
              <w:rPr>
                <w:rFonts w:ascii="仿宋_GB2312" w:hAnsi="黑体" w:eastAsia="仿宋_GB2312"/>
                <w:bCs/>
                <w:sz w:val="24"/>
                <w:szCs w:val="24"/>
              </w:rPr>
            </w:pPr>
            <w:r>
              <w:rPr>
                <w:rFonts w:ascii="仿宋_GB2312" w:hAnsi="黑体" w:eastAsia="仿宋_GB2312"/>
                <w:bCs/>
                <w:sz w:val="24"/>
                <w:szCs w:val="24"/>
              </w:rPr>
              <w:t>0@qq.com</w:t>
            </w:r>
          </w:p>
        </w:tc>
        <w:tc>
          <w:tcPr>
            <w:tcW w:w="1241" w:type="dxa"/>
            <w:vAlign w:val="center"/>
          </w:tcPr>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实验报告</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的批阅、教</w:t>
            </w:r>
          </w:p>
          <w:p>
            <w:pPr>
              <w:tabs>
                <w:tab w:val="left" w:pos="2219"/>
              </w:tabs>
              <w:suppressAutoHyphens/>
              <w:spacing w:line="288" w:lineRule="auto"/>
              <w:ind w:right="-692"/>
              <w:jc w:val="left"/>
              <w:rPr>
                <w:rFonts w:ascii="仿宋_GB2312" w:hAnsi="黑体" w:eastAsia="仿宋_GB2312"/>
                <w:bCs/>
                <w:sz w:val="24"/>
                <w:szCs w:val="24"/>
              </w:rPr>
            </w:pPr>
            <w:r>
              <w:rPr>
                <w:rFonts w:hint="eastAsia" w:ascii="仿宋_GB2312" w:hAnsi="黑体" w:eastAsia="仿宋_GB2312"/>
                <w:bCs/>
                <w:sz w:val="24"/>
                <w:szCs w:val="24"/>
              </w:rPr>
              <w:t>学服务人员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suppressAutoHyphens/>
              <w:spacing w:line="288" w:lineRule="auto"/>
              <w:ind w:right="-692"/>
              <w:jc w:val="center"/>
              <w:rPr>
                <w:rFonts w:ascii="黑体" w:hAnsi="黑体" w:eastAsia="黑体"/>
                <w:bCs/>
                <w:sz w:val="24"/>
                <w:szCs w:val="24"/>
              </w:rPr>
            </w:pPr>
            <w:r>
              <w:rPr>
                <w:rFonts w:hint="eastAsia" w:ascii="黑体" w:hAnsi="黑体" w:eastAsia="黑体"/>
                <w:bCs/>
                <w:sz w:val="24"/>
                <w:szCs w:val="24"/>
              </w:rPr>
              <w:t>2-2 团队其他成员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1501"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1617"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1963" w:type="dxa"/>
            <w:gridSpan w:val="3"/>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938"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927" w:type="dxa"/>
            <w:vAlign w:val="center"/>
          </w:tcPr>
          <w:p>
            <w:pPr>
              <w:jc w:val="center"/>
              <w:rPr>
                <w:rFonts w:ascii="仿宋_GB2312" w:eastAsia="仿宋_GB2312"/>
              </w:rPr>
            </w:pPr>
            <w:r>
              <w:rPr>
                <w:rFonts w:hint="eastAsia" w:ascii="仿宋_GB2312" w:hAnsi="黑体" w:eastAsia="仿宋_GB2312"/>
                <w:bCs/>
                <w:sz w:val="24"/>
                <w:szCs w:val="24"/>
              </w:rPr>
              <w:t>职称</w:t>
            </w:r>
          </w:p>
        </w:tc>
        <w:tc>
          <w:tcPr>
            <w:tcW w:w="124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1</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963" w:type="dxa"/>
            <w:gridSpan w:val="3"/>
            <w:vAlign w:val="center"/>
          </w:tcPr>
          <w:p>
            <w:pPr>
              <w:tabs>
                <w:tab w:val="left" w:pos="2219"/>
              </w:tabs>
              <w:suppressAutoHyphens/>
              <w:spacing w:line="288" w:lineRule="auto"/>
              <w:ind w:right="-692"/>
              <w:rPr>
                <w:rFonts w:ascii="仿宋_GB2312" w:hAnsi="黑体" w:eastAsia="仿宋_GB2312"/>
                <w:bCs/>
                <w:sz w:val="24"/>
                <w:szCs w:val="24"/>
              </w:rPr>
            </w:pPr>
          </w:p>
        </w:tc>
        <w:tc>
          <w:tcPr>
            <w:tcW w:w="938"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2</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963" w:type="dxa"/>
            <w:gridSpan w:val="3"/>
            <w:vAlign w:val="center"/>
          </w:tcPr>
          <w:p>
            <w:pPr>
              <w:tabs>
                <w:tab w:val="left" w:pos="2219"/>
              </w:tabs>
              <w:suppressAutoHyphens/>
              <w:spacing w:line="288" w:lineRule="auto"/>
              <w:ind w:right="-692"/>
              <w:rPr>
                <w:rFonts w:ascii="仿宋_GB2312" w:hAnsi="黑体" w:eastAsia="仿宋_GB2312"/>
                <w:bCs/>
                <w:sz w:val="24"/>
                <w:szCs w:val="24"/>
              </w:rPr>
            </w:pPr>
          </w:p>
        </w:tc>
        <w:tc>
          <w:tcPr>
            <w:tcW w:w="938"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0"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w:t>
            </w:r>
          </w:p>
        </w:tc>
        <w:tc>
          <w:tcPr>
            <w:tcW w:w="1501"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617"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1963" w:type="dxa"/>
            <w:gridSpan w:val="3"/>
            <w:vAlign w:val="center"/>
          </w:tcPr>
          <w:p>
            <w:pPr>
              <w:tabs>
                <w:tab w:val="left" w:pos="2219"/>
              </w:tabs>
              <w:suppressAutoHyphens/>
              <w:spacing w:line="288" w:lineRule="auto"/>
              <w:ind w:right="-692"/>
              <w:rPr>
                <w:rFonts w:ascii="仿宋_GB2312" w:hAnsi="黑体" w:eastAsia="仿宋_GB2312"/>
                <w:bCs/>
                <w:sz w:val="24"/>
                <w:szCs w:val="24"/>
              </w:rPr>
            </w:pPr>
          </w:p>
        </w:tc>
        <w:tc>
          <w:tcPr>
            <w:tcW w:w="938" w:type="dxa"/>
            <w:gridSpan w:val="2"/>
            <w:vAlign w:val="center"/>
          </w:tcPr>
          <w:p>
            <w:pPr>
              <w:tabs>
                <w:tab w:val="left" w:pos="2219"/>
              </w:tabs>
              <w:suppressAutoHyphens/>
              <w:spacing w:line="288" w:lineRule="auto"/>
              <w:ind w:right="-692"/>
              <w:rPr>
                <w:rFonts w:ascii="仿宋_GB2312" w:hAnsi="黑体" w:eastAsia="仿宋_GB2312"/>
                <w:bCs/>
                <w:sz w:val="24"/>
                <w:szCs w:val="24"/>
              </w:rPr>
            </w:pPr>
          </w:p>
        </w:tc>
        <w:tc>
          <w:tcPr>
            <w:tcW w:w="927" w:type="dxa"/>
            <w:vAlign w:val="center"/>
          </w:tcPr>
          <w:p>
            <w:pPr>
              <w:tabs>
                <w:tab w:val="left" w:pos="2219"/>
              </w:tabs>
              <w:suppressAutoHyphens/>
              <w:spacing w:line="288" w:lineRule="auto"/>
              <w:ind w:right="-692"/>
              <w:rPr>
                <w:rFonts w:ascii="仿宋_GB2312" w:hAnsi="黑体" w:eastAsia="仿宋_GB2312"/>
                <w:bCs/>
                <w:sz w:val="24"/>
                <w:szCs w:val="24"/>
              </w:rPr>
            </w:pPr>
          </w:p>
        </w:tc>
        <w:tc>
          <w:tcPr>
            <w:tcW w:w="1241" w:type="dxa"/>
            <w:vAlign w:val="center"/>
          </w:tcPr>
          <w:p>
            <w:pPr>
              <w:tabs>
                <w:tab w:val="left" w:pos="2219"/>
              </w:tabs>
              <w:suppressAutoHyphens/>
              <w:spacing w:line="288" w:lineRule="auto"/>
              <w:ind w:right="-692"/>
              <w:rPr>
                <w:rFonts w:ascii="仿宋_GB2312" w:hAnsi="黑体" w:eastAsia="仿宋_GB2312"/>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团队总人数： 5 人 其中高校人员数量： 5 人 企业人员数量： 0 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2"/>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2-3 团队主要成员教学情况（限500字以内）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8637" w:type="dxa"/>
            <w:gridSpan w:val="12"/>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（近5年来承担该实验教学任务情况，以及负责人开展教学研究、学术研究、获</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得教学奖励的情况）</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近５年主要承担：机械设计实验　　８学时／班／年；</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　　　　　　　　材料力学实验　　４学时／班／年；</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项目负责人，多年来不断的从事教学改革研究与专业科学研究。主要完成了以下</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课题项目：</w:t>
            </w:r>
          </w:p>
          <w:p>
            <w:pPr>
              <w:pStyle w:val="14"/>
              <w:numPr>
                <w:ilvl w:val="0"/>
                <w:numId w:val="1"/>
              </w:numPr>
              <w:tabs>
                <w:tab w:val="left" w:pos="2219"/>
              </w:tabs>
              <w:suppressAutoHyphens/>
              <w:spacing w:line="288" w:lineRule="auto"/>
              <w:ind w:right="-692" w:firstLineChars="0"/>
              <w:rPr>
                <w:rFonts w:ascii="仿宋_GB2312" w:hAnsi="黑体" w:eastAsia="仿宋_GB2312"/>
                <w:bCs/>
                <w:sz w:val="24"/>
                <w:szCs w:val="24"/>
              </w:rPr>
            </w:pPr>
            <w:r>
              <w:rPr>
                <w:rFonts w:hint="eastAsia" w:ascii="仿宋_GB2312" w:hAnsi="黑体" w:eastAsia="仿宋_GB2312"/>
                <w:bCs/>
                <w:sz w:val="24"/>
                <w:szCs w:val="24"/>
              </w:rPr>
              <w:t>河北省大学生实践教育基地—标正机床厂工程实践教育基地建设，河北省</w:t>
            </w:r>
          </w:p>
          <w:p>
            <w:pPr>
              <w:pStyle w:val="14"/>
              <w:tabs>
                <w:tab w:val="left" w:pos="2219"/>
              </w:tabs>
              <w:suppressAutoHyphens/>
              <w:spacing w:line="288" w:lineRule="auto"/>
              <w:ind w:left="720" w:right="-692" w:firstLine="0" w:firstLineChars="0"/>
              <w:rPr>
                <w:rFonts w:ascii="仿宋_GB2312" w:hAnsi="黑体" w:eastAsia="仿宋_GB2312"/>
                <w:bCs/>
                <w:sz w:val="24"/>
                <w:szCs w:val="24"/>
              </w:rPr>
            </w:pPr>
            <w:r>
              <w:rPr>
                <w:rFonts w:hint="eastAsia" w:ascii="仿宋_GB2312" w:hAnsi="黑体" w:eastAsia="仿宋_GB2312"/>
                <w:bCs/>
                <w:sz w:val="24"/>
                <w:szCs w:val="24"/>
              </w:rPr>
              <w:t>教育厅课题，2015年结项。</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（2）《机械设计》精品课程建设，校级课题，2018年已结项，并获得校级教学成</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果一等奖。</w:t>
            </w:r>
          </w:p>
          <w:p>
            <w:pPr>
              <w:pStyle w:val="14"/>
              <w:numPr>
                <w:ilvl w:val="0"/>
                <w:numId w:val="2"/>
              </w:numPr>
              <w:tabs>
                <w:tab w:val="left" w:pos="2219"/>
              </w:tabs>
              <w:suppressAutoHyphens/>
              <w:spacing w:line="288" w:lineRule="auto"/>
              <w:ind w:right="-692" w:firstLineChars="0"/>
              <w:rPr>
                <w:rFonts w:ascii="仿宋_GB2312" w:hAnsi="黑体" w:eastAsia="仿宋_GB2312"/>
                <w:bCs/>
                <w:sz w:val="24"/>
                <w:szCs w:val="24"/>
              </w:rPr>
            </w:pPr>
            <w:r>
              <w:rPr>
                <w:rFonts w:hint="eastAsia" w:ascii="仿宋_GB2312" w:hAnsi="黑体" w:eastAsia="仿宋_GB2312"/>
                <w:bCs/>
                <w:sz w:val="24"/>
                <w:szCs w:val="24"/>
              </w:rPr>
              <w:t>顶岗实习实践教学研究—以机制专业为例，课题号：JG2017506，校级课题</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2019年已结项。</w:t>
            </w:r>
          </w:p>
          <w:p>
            <w:pPr>
              <w:pStyle w:val="14"/>
              <w:numPr>
                <w:ilvl w:val="0"/>
                <w:numId w:val="2"/>
              </w:numPr>
              <w:tabs>
                <w:tab w:val="left" w:pos="2219"/>
              </w:tabs>
              <w:suppressAutoHyphens/>
              <w:spacing w:line="288" w:lineRule="auto"/>
              <w:ind w:right="-692" w:firstLineChars="0"/>
              <w:rPr>
                <w:rFonts w:ascii="仿宋_GB2312" w:hAnsi="黑体" w:eastAsia="仿宋_GB2312"/>
                <w:bCs/>
                <w:sz w:val="24"/>
                <w:szCs w:val="24"/>
              </w:rPr>
            </w:pPr>
            <w:r>
              <w:rPr>
                <w:rFonts w:hint="eastAsia" w:ascii="仿宋_GB2312" w:hAnsi="黑体" w:eastAsia="仿宋_GB2312"/>
                <w:bCs/>
                <w:sz w:val="24"/>
                <w:szCs w:val="24"/>
              </w:rPr>
              <w:t>基于二点委夜蛾病虫害防治的夏玉米免耕播种装置的研究，课题号：17JN00</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6保定市科技局课题，2019年已结项。</w:t>
            </w:r>
          </w:p>
          <w:p>
            <w:pPr>
              <w:pStyle w:val="14"/>
              <w:numPr>
                <w:ilvl w:val="0"/>
                <w:numId w:val="2"/>
              </w:numPr>
              <w:tabs>
                <w:tab w:val="left" w:pos="2219"/>
              </w:tabs>
              <w:suppressAutoHyphens/>
              <w:spacing w:line="288" w:lineRule="auto"/>
              <w:ind w:right="-692" w:firstLineChars="0"/>
              <w:rPr>
                <w:rFonts w:ascii="仿宋_GB2312" w:hAnsi="黑体" w:eastAsia="仿宋_GB2312"/>
                <w:bCs/>
                <w:sz w:val="24"/>
                <w:szCs w:val="24"/>
              </w:rPr>
            </w:pPr>
            <w:r>
              <w:rPr>
                <w:rFonts w:hint="eastAsia" w:ascii="仿宋_GB2312" w:hAnsi="黑体" w:eastAsia="仿宋_GB2312"/>
                <w:bCs/>
                <w:sz w:val="24"/>
                <w:szCs w:val="24"/>
              </w:rPr>
              <w:t>基于CAE的轴孔过盈配合过盈量对接触应力的影响研究与有限元仿真，</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课题号ZDCYK1702，校级课题，2018年已结项。</w:t>
            </w:r>
          </w:p>
          <w:p>
            <w:pPr>
              <w:pStyle w:val="14"/>
              <w:numPr>
                <w:ilvl w:val="0"/>
                <w:numId w:val="2"/>
              </w:numPr>
              <w:tabs>
                <w:tab w:val="left" w:pos="2219"/>
              </w:tabs>
              <w:suppressAutoHyphens/>
              <w:spacing w:line="288" w:lineRule="auto"/>
              <w:ind w:right="-692" w:firstLineChars="0"/>
              <w:rPr>
                <w:rFonts w:ascii="仿宋_GB2312" w:hAnsi="黑体" w:eastAsia="仿宋_GB2312"/>
                <w:bCs/>
                <w:sz w:val="24"/>
                <w:szCs w:val="24"/>
              </w:rPr>
            </w:pPr>
            <w:r>
              <w:rPr>
                <w:rFonts w:hint="eastAsia" w:ascii="仿宋_GB2312" w:hAnsi="黑体" w:eastAsia="仿宋_GB2312"/>
                <w:bCs/>
                <w:sz w:val="24"/>
                <w:szCs w:val="24"/>
              </w:rPr>
              <w:t>提高应用型本科毕业设计质量的研究与探索，课题号JG2019601，校级课</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题，2021年结项。</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（7）基于TRIZ理论的大学生创新创业研究与实践，课题号 JG2019603</w:t>
            </w:r>
            <w:r>
              <w:rPr>
                <w:rFonts w:hint="eastAsia" w:ascii="仿宋_GB2312" w:hAnsi="黑体" w:eastAsia="仿宋_GB2312"/>
                <w:bCs/>
                <w:sz w:val="24"/>
                <w:szCs w:val="24"/>
              </w:rPr>
              <w:tab/>
            </w:r>
            <w:r>
              <w:rPr>
                <w:rFonts w:hint="eastAsia" w:ascii="仿宋_GB2312" w:hAnsi="黑体" w:eastAsia="仿宋_GB2312"/>
                <w:bCs/>
                <w:sz w:val="24"/>
                <w:szCs w:val="24"/>
              </w:rPr>
              <w:t>2019</w:t>
            </w:r>
            <w:r>
              <w:rPr>
                <w:rFonts w:hint="eastAsia" w:ascii="仿宋_GB2312" w:hAnsi="黑体" w:eastAsia="仿宋_GB2312"/>
                <w:bCs/>
                <w:sz w:val="24"/>
                <w:szCs w:val="24"/>
              </w:rPr>
              <w:tab/>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校级课题，2021年结项。</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（8）基于CAE的变速箱传动系统弹性动力学分析与研究，课题号Z2018222</w:t>
            </w:r>
            <w:r>
              <w:rPr>
                <w:rFonts w:hint="eastAsia" w:ascii="仿宋_GB2312" w:hAnsi="黑体" w:eastAsia="仿宋_GB2312"/>
                <w:bCs/>
                <w:sz w:val="24"/>
                <w:szCs w:val="24"/>
              </w:rPr>
              <w:tab/>
            </w:r>
            <w:r>
              <w:rPr>
                <w:rFonts w:hint="eastAsia" w:ascii="仿宋_GB2312" w:hAnsi="黑体" w:eastAsia="仿宋_GB2312"/>
                <w:bCs/>
                <w:sz w:val="24"/>
                <w:szCs w:val="24"/>
              </w:rPr>
              <w:tab/>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河北省科技厅项目，2020年12月结项。</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（9）滚动轴承模态特性分析及仿真，2021年3月立项，校级在研课题。</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（10）变速箱壳体轻量化研究与设计，2020年12月年河北省教育厅课题，在研</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课题。</w:t>
            </w:r>
          </w:p>
          <w:p>
            <w:pPr>
              <w:tabs>
                <w:tab w:val="left" w:pos="2219"/>
              </w:tabs>
              <w:suppressAutoHyphens/>
              <w:spacing w:line="288" w:lineRule="auto"/>
              <w:ind w:right="-692" w:firstLine="480" w:firstLineChars="200"/>
              <w:rPr>
                <w:rFonts w:ascii="仿宋_GB2312" w:hAnsi="黑体" w:eastAsia="仿宋_GB2312"/>
                <w:bCs/>
                <w:sz w:val="24"/>
                <w:szCs w:val="24"/>
              </w:rPr>
            </w:pPr>
            <w:r>
              <w:rPr>
                <w:rFonts w:hint="eastAsia" w:ascii="仿宋_GB2312" w:hAnsi="黑体" w:eastAsia="仿宋_GB2312"/>
                <w:bCs/>
                <w:sz w:val="24"/>
                <w:szCs w:val="24"/>
              </w:rPr>
              <w:t>以上课题大部分是围绕教学进行开展，在教学中发现问题，通过课题研究进</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行解决。教学研究成果应用于教学，在一定程度上提高了教学质量。另一部分是</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专业科学研究，针对专业中发现的问题，进行课题研究，研究结果应用于教学。</w:t>
            </w:r>
          </w:p>
        </w:tc>
      </w:tr>
    </w:tbl>
    <w:p>
      <w:pPr>
        <w:tabs>
          <w:tab w:val="left" w:pos="2219"/>
        </w:tabs>
        <w:suppressAutoHyphens/>
        <w:spacing w:line="288" w:lineRule="auto"/>
        <w:rPr>
          <w:rFonts w:ascii="Times New Roman" w:hAnsi="Times New Roman" w:eastAsia="仿宋_GB2312"/>
          <w:sz w:val="24"/>
          <w:szCs w:val="24"/>
        </w:rPr>
      </w:pPr>
      <w:r>
        <w:rPr>
          <w:rFonts w:hint="eastAsia" w:ascii="Times New Roman" w:hAnsi="Times New Roman" w:eastAsia="仿宋_GB2312"/>
          <w:sz w:val="24"/>
          <w:szCs w:val="24"/>
        </w:rPr>
        <w:t>注：必要的技术支持人员可作为团队主要成员；“承担任务”中除填写任务分工内容外，请说明属于在线教学服务人员还是技术支持人员。</w:t>
      </w:r>
    </w:p>
    <w:p>
      <w:pPr>
        <w:tabs>
          <w:tab w:val="left" w:pos="2219"/>
        </w:tabs>
        <w:suppressAutoHyphens/>
        <w:spacing w:line="288" w:lineRule="auto"/>
        <w:rPr>
          <w:rFonts w:ascii="Times New Roman" w:hAnsi="Times New Roman" w:eastAsia="仿宋_GB2312"/>
          <w:sz w:val="24"/>
          <w:szCs w:val="24"/>
        </w:rPr>
      </w:pPr>
      <w:r>
        <w:rPr>
          <w:rFonts w:ascii="Times New Roman" w:hAnsi="Times New Roman" w:eastAsia="仿宋_GB2312"/>
          <w:sz w:val="24"/>
          <w:szCs w:val="24"/>
        </w:rPr>
        <w:br w:type="page"/>
      </w:r>
      <w:r>
        <w:rPr>
          <w:rFonts w:hint="eastAsia" w:ascii="黑体" w:hAnsi="黑体" w:eastAsia="黑体" w:cs="Times New Roman"/>
          <w:sz w:val="28"/>
        </w:rPr>
        <w:t>3.实验描述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8572" w:type="dxa"/>
            <w:tcBorders>
              <w:bottom w:val="single" w:color="auto" w:sz="4" w:space="0"/>
            </w:tcBorders>
          </w:tcPr>
          <w:p>
            <w:pPr>
              <w:spacing w:line="288" w:lineRule="auto"/>
              <w:jc w:val="left"/>
              <w:rPr>
                <w:rFonts w:ascii="仿宋_GB2312" w:hAnsi="Times New Roman" w:eastAsia="仿宋_GB2312"/>
                <w:sz w:val="24"/>
                <w:szCs w:val="24"/>
              </w:rPr>
            </w:pPr>
            <w:r>
              <w:rPr>
                <w:rFonts w:hint="eastAsia" w:ascii="黑体" w:hAnsi="黑体" w:eastAsia="黑体"/>
                <w:sz w:val="24"/>
                <w:szCs w:val="24"/>
              </w:rPr>
              <w:t>3-1实验简介</w:t>
            </w:r>
            <w:r>
              <w:rPr>
                <w:rFonts w:hint="eastAsia" w:ascii="仿宋_GB2312" w:hAnsi="Times New Roman" w:eastAsia="仿宋_GB2312"/>
                <w:sz w:val="24"/>
                <w:szCs w:val="24"/>
              </w:rPr>
              <w:t>（实验的必要性及实用性，教学设计的合理性，实验系统的先进性）</w:t>
            </w:r>
          </w:p>
          <w:p>
            <w:pPr>
              <w:spacing w:line="288" w:lineRule="auto"/>
              <w:ind w:firstLine="480"/>
              <w:jc w:val="left"/>
              <w:rPr>
                <w:rFonts w:ascii="仿宋_GB2312" w:hAnsi="Times New Roman" w:eastAsia="仿宋_GB2312"/>
                <w:sz w:val="24"/>
                <w:szCs w:val="24"/>
              </w:rPr>
            </w:pPr>
            <w:r>
              <w:rPr>
                <w:rFonts w:hint="eastAsia" w:ascii="仿宋_GB2312" w:hAnsi="Times New Roman" w:eastAsia="仿宋_GB2312"/>
                <w:sz w:val="24"/>
                <w:szCs w:val="24"/>
              </w:rPr>
              <w:t>滚动轴承是机械传动系统中重要的零部件，它安装在变速箱体中对轴起支撑作用并提高轴的旋转精度。轴承性能的好坏以及轴承在工作中的受力状态，直接影响轴承的旋转精度和寿命。</w:t>
            </w:r>
          </w:p>
          <w:p>
            <w:pPr>
              <w:spacing w:line="288" w:lineRule="auto"/>
              <w:ind w:firstLine="480"/>
              <w:jc w:val="left"/>
              <w:rPr>
                <w:rFonts w:ascii="仿宋_GB2312" w:hAnsi="Times New Roman" w:eastAsia="仿宋_GB2312"/>
                <w:sz w:val="24"/>
                <w:szCs w:val="24"/>
              </w:rPr>
            </w:pPr>
            <w:r>
              <w:rPr>
                <w:rFonts w:hint="eastAsia" w:ascii="仿宋_GB2312" w:hAnsi="Times New Roman" w:eastAsia="仿宋_GB2312"/>
                <w:sz w:val="24"/>
                <w:szCs w:val="24"/>
              </w:rPr>
              <w:t>轴承在工作过程中的受力状态比较复杂，在载荷的作用下，轴承元件会发生变形或者强度失效，从而影响轴承的旋转精度和寿命。研究轴承在载荷作用下的变形和强度问题，对于提高轴承零部件的寿命和旋转精度是非常重要的。</w:t>
            </w:r>
          </w:p>
          <w:p>
            <w:pPr>
              <w:spacing w:line="288" w:lineRule="auto"/>
              <w:ind w:firstLine="480"/>
              <w:jc w:val="left"/>
              <w:rPr>
                <w:rFonts w:ascii="仿宋_GB2312" w:hAnsi="Times New Roman" w:eastAsia="仿宋_GB2312"/>
                <w:sz w:val="24"/>
                <w:szCs w:val="24"/>
              </w:rPr>
            </w:pPr>
            <w:r>
              <w:rPr>
                <w:rFonts w:hint="eastAsia" w:ascii="仿宋_GB2312" w:hAnsi="Times New Roman" w:eastAsia="仿宋_GB2312"/>
                <w:sz w:val="24"/>
                <w:szCs w:val="24"/>
              </w:rPr>
              <w:t>轴承实验属于破坏性试验，实验设备复杂、实验成本较高。并且属于不可逆、高损耗、高消费实验。因此采用虚拟仿真的方法进行。本实验根据轴承的实际几何参数建立三维模型；进行材料设置、物理属性设置、网格划分，建立有限元模型；载荷施加、约束施加，从而建立仿真模型，最后查看仿真结果，检测数据。根据数据生产函数曲线，从而研究轴承在外力作用下的应力和应变情况。既符合教学的要求，又能节约大量的教学资源，同时也能培养学生的科研能力和素质。</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 xml:space="preserve">   本实验采用UGNX软件进行，本软件功能强大，具有三维建模、运动仿真、有限元仿真及数控加工与编程的功能。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3-2实验教学目标</w:t>
            </w:r>
            <w:r>
              <w:rPr>
                <w:rFonts w:hint="eastAsia" w:ascii="仿宋_GB2312" w:hAnsi="Times New Roman" w:eastAsia="仿宋_GB2312"/>
                <w:sz w:val="24"/>
                <w:szCs w:val="24"/>
              </w:rPr>
              <w:t>（</w:t>
            </w:r>
            <w:r>
              <w:rPr>
                <w:rFonts w:hint="eastAsia" w:ascii="仿宋_GB2312" w:hAnsi="仿宋_GB2312" w:eastAsia="仿宋_GB2312" w:cs="仿宋_GB2312"/>
                <w:sz w:val="24"/>
                <w:szCs w:val="24"/>
              </w:rPr>
              <w:t>实验后应该达到的知识、能力水平</w:t>
            </w:r>
            <w:r>
              <w:rPr>
                <w:rFonts w:hint="eastAsia" w:ascii="仿宋_GB2312" w:hAnsi="Times New Roman" w:eastAsia="仿宋_GB2312"/>
                <w:sz w:val="24"/>
                <w:szCs w:val="24"/>
              </w:rPr>
              <w:t>）</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Times New Roman" w:eastAsia="仿宋_GB2312"/>
                <w:sz w:val="24"/>
                <w:szCs w:val="24"/>
              </w:rPr>
              <w:t>使学生了解轴承的结构、特点、工作原理；</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Times New Roman" w:eastAsia="仿宋_GB2312"/>
                <w:sz w:val="24"/>
                <w:szCs w:val="24"/>
              </w:rPr>
              <w:t>使学生掌握滚动轴承三维建模的能力；</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使学生掌握滚动轴承有限元模型（材料设定、物理属性设定、网格划分）的建立过程；</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使学生掌握滚动轴承仿真模型（约束施加、载荷施加）的建立过程；</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使学生掌握数据的采集及检测方法；</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学生能够对实验结果进行分析；</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使学生掌握改变自变量，影响因变量的研究方法；</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培养学生根据数据生成函数图形的能力；</w:t>
            </w:r>
          </w:p>
          <w:p>
            <w:pPr>
              <w:pStyle w:val="14"/>
              <w:numPr>
                <w:ilvl w:val="0"/>
                <w:numId w:val="3"/>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培养学生科学研究的素质及能力；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3-3实验课时</w:t>
            </w:r>
          </w:p>
          <w:p>
            <w:pPr>
              <w:spacing w:line="560" w:lineRule="exact"/>
              <w:jc w:val="left"/>
              <w:rPr>
                <w:rFonts w:ascii="仿宋_GB2312" w:hAnsi="Times New Roman" w:eastAsia="仿宋_GB2312"/>
                <w:sz w:val="24"/>
                <w:szCs w:val="24"/>
              </w:rPr>
            </w:pPr>
            <w:r>
              <w:rPr>
                <w:rFonts w:hint="eastAsia" w:ascii="仿宋_GB2312" w:hAnsi="Times New Roman" w:eastAsia="仿宋_GB2312"/>
                <w:sz w:val="24"/>
                <w:szCs w:val="24"/>
              </w:rPr>
              <w:t xml:space="preserve">（1）实验所属课程课时：48学时  </w:t>
            </w:r>
          </w:p>
          <w:p>
            <w:pPr>
              <w:spacing w:line="560" w:lineRule="exact"/>
              <w:jc w:val="left"/>
              <w:rPr>
                <w:rFonts w:ascii="仿宋_GB2312" w:hAnsi="黑体" w:eastAsia="仿宋_GB2312"/>
                <w:sz w:val="24"/>
                <w:szCs w:val="24"/>
              </w:rPr>
            </w:pPr>
            <w:r>
              <w:rPr>
                <w:rFonts w:hint="eastAsia" w:ascii="仿宋_GB2312" w:hAnsi="Times New Roman" w:eastAsia="仿宋_GB2312"/>
                <w:sz w:val="24"/>
                <w:szCs w:val="24"/>
              </w:rPr>
              <w:t xml:space="preserve">（2）该实验所占课时： 4 学时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92"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3-4实验原理</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（1）实验原理</w:t>
            </w:r>
            <w:r>
              <w:rPr>
                <w:rFonts w:hint="eastAsia" w:ascii="仿宋_GB2312" w:hAnsi="Times New Roman" w:eastAsia="仿宋_GB2312"/>
                <w:sz w:val="24"/>
                <w:szCs w:val="24"/>
              </w:rPr>
              <w:t>(限1000字以内)</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以6207滚动轴承为实验对象，首先通过机械设计手册查阅滚动轴承6207的几何参数，包括轴承的内径、外径、宽度、节圆直径、滚动体数目、基本额定静载荷、基本额定静载荷、极限转速等。选取滚动轴承常用材料</w:t>
            </w:r>
            <w:r>
              <w:rPr>
                <w:rFonts w:ascii="仿宋_GB2312" w:hAnsi="Times New Roman" w:eastAsia="仿宋_GB2312"/>
                <w:sz w:val="24"/>
                <w:szCs w:val="24"/>
              </w:rPr>
              <w:t>GCr15SiMn</w:t>
            </w:r>
            <w:r>
              <w:rPr>
                <w:rFonts w:hint="eastAsia" w:ascii="仿宋_GB2312" w:hAnsi="Times New Roman" w:eastAsia="仿宋_GB2312"/>
                <w:sz w:val="24"/>
                <w:szCs w:val="24"/>
              </w:rPr>
              <w:t>，并通过机械设计手册查阅高碳铬轴承钢的弹性模量、泊松比、密度、屈服强度和抗拉强度等参数。</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打开电脑，进入UGNX软件建模环境；在建模环境下，利用旋转、拉伸、阵列、布尔运算等命令分别建立轴承外圈、轴承内圈、保持架、滚动体的三维模型；并在装配环境下利用接触约束、距离约束、同心约束等命令进行轴承装配。</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进入仿真环境，根据输入轴承材料，设定力学参数；设置物理属性，利用3D网格，进行滚动轴承网格划分；滚动体网格划分要细，内外圈网格划分尺寸可以稍大。建立了有限元模型。</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建立仿真模型：在有限元模型上，根据实际情况设置内圈左侧断面固定约束、外圈右侧断面固定约束；同时沿直径方向施加径向载荷5000N，并自动检索面对接触。设置完成后进入计算机解算。</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仿真结束后，查看仿真结果。分别查看轴承内圈、外圈、滚动体保持架等元件的最大应力、最大应变。同时记录每个滚动体最大应力，观察轴承元件的变形情况。</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退出结果查看环境，分别施加10000N、15000N、20000N，先后进行仿真解算，并查看结果，记录收集数据。</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整理数据、分析数据，并根据记录的数据，在绘图软件中生成函数曲线，进而分析轴承在不同载荷作用下的应力应变情况。</w:t>
            </w:r>
          </w:p>
          <w:p>
            <w:pPr>
              <w:spacing w:line="288" w:lineRule="auto"/>
              <w:ind w:firstLine="720" w:firstLineChars="300"/>
              <w:jc w:val="left"/>
              <w:rPr>
                <w:rFonts w:ascii="仿宋_GB2312" w:hAnsi="黑体" w:eastAsia="仿宋_GB2312"/>
                <w:bCs/>
                <w:sz w:val="24"/>
                <w:szCs w:val="24"/>
              </w:rPr>
            </w:pPr>
            <w:r>
              <w:rPr>
                <w:rFonts w:hint="eastAsia" w:ascii="仿宋_GB2312" w:hAnsi="黑体" w:eastAsia="仿宋_GB2312"/>
                <w:sz w:val="24"/>
                <w:szCs w:val="24"/>
              </w:rPr>
              <w:t xml:space="preserve">知识点：共 8 </w:t>
            </w:r>
            <w:r>
              <w:rPr>
                <w:rFonts w:hint="eastAsia" w:ascii="仿宋_GB2312" w:hAnsi="黑体" w:eastAsia="仿宋_GB2312"/>
                <w:bCs/>
                <w:sz w:val="24"/>
                <w:szCs w:val="24"/>
              </w:rPr>
              <w:t>个</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1.滚动轴承的结构、特点、工作原理；</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2.滚动轴承</w:t>
            </w:r>
            <w:r>
              <w:rPr>
                <w:rFonts w:ascii="仿宋_GB2312" w:hAnsi="黑体" w:eastAsia="仿宋_GB2312"/>
                <w:bCs/>
                <w:sz w:val="24"/>
                <w:szCs w:val="24"/>
              </w:rPr>
              <w:t>6207</w:t>
            </w:r>
            <w:r>
              <w:rPr>
                <w:rFonts w:hint="eastAsia" w:ascii="仿宋_GB2312" w:hAnsi="黑体" w:eastAsia="仿宋_GB2312"/>
                <w:bCs/>
                <w:sz w:val="24"/>
                <w:szCs w:val="24"/>
              </w:rPr>
              <w:t>的几何参数、材料特性；</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3.滚动轴承三维建模的方法；</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4.滚动轴承有限元模型的建立方法；</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5.滚动轴承仿真模型的建立方法；</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6.滚动轴承元件应力分析（脉动循环变应力）；</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7.滚动轴承元件应变分析；</w:t>
            </w:r>
          </w:p>
          <w:p>
            <w:pPr>
              <w:spacing w:line="288" w:lineRule="auto"/>
              <w:ind w:firstLine="240" w:firstLineChars="100"/>
              <w:jc w:val="left"/>
              <w:rPr>
                <w:rFonts w:ascii="仿宋_GB2312" w:hAnsi="黑体" w:eastAsia="仿宋_GB2312"/>
                <w:bCs/>
                <w:sz w:val="24"/>
                <w:szCs w:val="24"/>
              </w:rPr>
            </w:pPr>
            <w:r>
              <w:rPr>
                <w:rFonts w:hint="eastAsia" w:ascii="仿宋_GB2312" w:hAnsi="黑体" w:eastAsia="仿宋_GB2312"/>
                <w:bCs/>
                <w:sz w:val="24"/>
                <w:szCs w:val="24"/>
              </w:rPr>
              <w:t xml:space="preserve">    8.滚动体赫兹应力分布； </w:t>
            </w:r>
          </w:p>
          <w:p>
            <w:pPr>
              <w:spacing w:line="288" w:lineRule="auto"/>
              <w:ind w:firstLine="480" w:firstLineChars="200"/>
              <w:jc w:val="left"/>
              <w:rPr>
                <w:rFonts w:ascii="仿宋_GB2312" w:hAnsi="Times New Roman" w:eastAsia="仿宋_GB2312"/>
                <w:sz w:val="24"/>
                <w:szCs w:val="24"/>
              </w:rPr>
            </w:pPr>
            <w:r>
              <w:rPr>
                <w:rFonts w:hint="eastAsia" w:ascii="仿宋_GB2312" w:hAnsi="黑体" w:eastAsia="仿宋_GB2312"/>
                <w:sz w:val="24"/>
                <w:szCs w:val="24"/>
              </w:rPr>
              <w:t>（2）核心要素仿真设计</w:t>
            </w:r>
            <w:r>
              <w:rPr>
                <w:rFonts w:hint="eastAsia" w:ascii="仿宋_GB2312" w:hAnsi="Times New Roman" w:eastAsia="仿宋_GB2312"/>
                <w:sz w:val="24"/>
                <w:szCs w:val="24"/>
              </w:rPr>
              <w:t>（对系统或对象的仿真模型体现的客观结构、功能及其运动规律的实验场景进行如实描述，限500字以内）</w:t>
            </w:r>
          </w:p>
          <w:p>
            <w:pPr>
              <w:spacing w:line="288" w:lineRule="auto"/>
              <w:ind w:firstLine="480" w:firstLineChars="200"/>
              <w:jc w:val="left"/>
              <w:rPr>
                <w:rStyle w:val="23"/>
              </w:rPr>
            </w:pPr>
            <w:r>
              <w:rPr>
                <w:rFonts w:hint="eastAsia" w:ascii="仿宋_GB2312" w:hAnsi="黑体" w:eastAsia="仿宋_GB2312" w:cs="黑体"/>
                <w:sz w:val="24"/>
                <w:szCs w:val="24"/>
              </w:rPr>
              <w:t>滚动轴承由内圈、外圈、滚动体和保持架组成。在径向载荷的作用下，滚动轴承元件会发生一定的弹性变形、塑形变形或者强度失效。根据轴承的实际几何尺寸，进行三维模型的建立及装配。根据实际中轴承常用材料设定轴承的材料特性、物理属性并利用有限元思想，划分网格，建立有限元模型。根据实际轴承安装的情况，进行内外圈各单边轴向定位约束，分别施加不同的载荷，建立仿真模型。并按照不同的工况分别进行解算，观察仿真结果，记录数据。分析数据，得出规律。从而深度了解滚动轴承在不同载荷作用下的应力应变情况。</w:t>
            </w:r>
          </w:p>
          <w:p>
            <w:pPr>
              <w:spacing w:line="288" w:lineRule="auto"/>
              <w:jc w:val="left"/>
              <w:rPr>
                <w:rFonts w:ascii="仿宋_GB2312" w:hAnsi="黑体" w:eastAsia="仿宋_GB2312" w:cs="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3-5实验教学过程与实验方法</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（一）已知条件</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（1）滚动轴承几何参数</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本文以滚动轴承6207为例，几何参数如表1所示：</w:t>
            </w:r>
          </w:p>
          <w:p>
            <w:pPr>
              <w:spacing w:line="288" w:lineRule="auto"/>
              <w:ind w:firstLine="2400" w:firstLineChars="1000"/>
              <w:jc w:val="left"/>
              <w:rPr>
                <w:rFonts w:ascii="仿宋_GB2312" w:hAnsi="黑体" w:eastAsia="仿宋_GB2312"/>
                <w:sz w:val="24"/>
                <w:szCs w:val="24"/>
              </w:rPr>
            </w:pPr>
            <w:r>
              <w:rPr>
                <w:rFonts w:hint="eastAsia" w:ascii="仿宋_GB2312" w:hAnsi="黑体" w:eastAsia="仿宋_GB2312"/>
                <w:sz w:val="24"/>
                <w:szCs w:val="24"/>
              </w:rPr>
              <w:t>表1  6207滚动轴承几何参数表</w:t>
            </w:r>
          </w:p>
          <w:tbl>
            <w:tblPr>
              <w:tblStyle w:val="9"/>
              <w:tblW w:w="0" w:type="auto"/>
              <w:tblInd w:w="1242"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98"/>
              <w:gridCol w:w="2841"/>
              <w:gridCol w:w="1798"/>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Borders>
                    <w:top w:val="single" w:color="auto" w:sz="4" w:space="0"/>
                    <w:bottom w:val="single" w:color="auto" w:sz="4" w:space="0"/>
                  </w:tcBorders>
                </w:tcPr>
                <w:p>
                  <w:pPr>
                    <w:spacing w:line="288" w:lineRule="auto"/>
                    <w:jc w:val="left"/>
                    <w:rPr>
                      <w:rFonts w:ascii="仿宋_GB2312" w:hAnsi="黑体" w:eastAsia="仿宋_GB2312"/>
                      <w:b/>
                      <w:sz w:val="24"/>
                      <w:szCs w:val="24"/>
                    </w:rPr>
                  </w:pPr>
                  <w:r>
                    <w:rPr>
                      <w:rFonts w:hint="eastAsia" w:ascii="仿宋_GB2312" w:hAnsi="黑体" w:eastAsia="仿宋_GB2312"/>
                      <w:b/>
                      <w:sz w:val="24"/>
                      <w:szCs w:val="24"/>
                    </w:rPr>
                    <w:t>符号</w:t>
                  </w:r>
                </w:p>
              </w:tc>
              <w:tc>
                <w:tcPr>
                  <w:tcW w:w="2841" w:type="dxa"/>
                  <w:tcBorders>
                    <w:top w:val="single" w:color="auto" w:sz="4" w:space="0"/>
                    <w:bottom w:val="single" w:color="auto" w:sz="4" w:space="0"/>
                  </w:tcBorders>
                </w:tcPr>
                <w:p>
                  <w:pPr>
                    <w:spacing w:line="288" w:lineRule="auto"/>
                    <w:jc w:val="left"/>
                    <w:rPr>
                      <w:rFonts w:ascii="仿宋_GB2312" w:hAnsi="黑体" w:eastAsia="仿宋_GB2312"/>
                      <w:b/>
                      <w:sz w:val="24"/>
                      <w:szCs w:val="24"/>
                    </w:rPr>
                  </w:pPr>
                  <w:r>
                    <w:rPr>
                      <w:rFonts w:hint="eastAsia" w:ascii="仿宋_GB2312" w:hAnsi="黑体" w:eastAsia="仿宋_GB2312"/>
                      <w:b/>
                      <w:sz w:val="24"/>
                      <w:szCs w:val="24"/>
                    </w:rPr>
                    <w:t>描述</w:t>
                  </w:r>
                </w:p>
              </w:tc>
              <w:tc>
                <w:tcPr>
                  <w:tcW w:w="1798" w:type="dxa"/>
                  <w:tcBorders>
                    <w:top w:val="single" w:color="auto" w:sz="4" w:space="0"/>
                    <w:bottom w:val="single" w:color="auto" w:sz="4" w:space="0"/>
                  </w:tcBorders>
                </w:tcPr>
                <w:p>
                  <w:pPr>
                    <w:spacing w:line="288" w:lineRule="auto"/>
                    <w:jc w:val="left"/>
                    <w:rPr>
                      <w:rFonts w:ascii="仿宋_GB2312" w:hAnsi="黑体" w:eastAsia="仿宋_GB2312"/>
                      <w:b/>
                      <w:sz w:val="24"/>
                      <w:szCs w:val="24"/>
                    </w:rPr>
                  </w:pPr>
                  <w:r>
                    <w:rPr>
                      <w:rFonts w:hint="eastAsia" w:ascii="仿宋_GB2312" w:hAnsi="黑体" w:eastAsia="仿宋_GB2312"/>
                      <w:b/>
                      <w:sz w:val="24"/>
                      <w:szCs w:val="24"/>
                    </w:rPr>
                    <w:t>值</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Borders>
                    <w:top w:val="single" w:color="auto" w:sz="4" w:space="0"/>
                  </w:tcBorders>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d</w:t>
                  </w:r>
                </w:p>
              </w:tc>
              <w:tc>
                <w:tcPr>
                  <w:tcW w:w="2841" w:type="dxa"/>
                  <w:tcBorders>
                    <w:top w:val="single" w:color="auto" w:sz="4" w:space="0"/>
                  </w:tcBorders>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轴承内径/mm</w:t>
                  </w:r>
                </w:p>
              </w:tc>
              <w:tc>
                <w:tcPr>
                  <w:tcW w:w="1798" w:type="dxa"/>
                  <w:tcBorders>
                    <w:top w:val="single" w:color="auto" w:sz="4" w:space="0"/>
                  </w:tcBorders>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35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D</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轴承外径/mm</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72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B</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轴承宽度/mm</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17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D</w:t>
                  </w:r>
                  <w:r>
                    <w:rPr>
                      <w:rFonts w:hint="eastAsia" w:ascii="仿宋_GB2312" w:hAnsi="黑体" w:eastAsia="仿宋_GB2312"/>
                      <w:sz w:val="24"/>
                      <w:szCs w:val="24"/>
                      <w:vertAlign w:val="subscript"/>
                    </w:rPr>
                    <w:t>a</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节圆直径/mm</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53.5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Z</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滚子数目/个</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15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C</w:t>
                  </w:r>
                  <w:r>
                    <w:rPr>
                      <w:rFonts w:hint="eastAsia" w:ascii="仿宋_GB2312" w:hAnsi="黑体" w:eastAsia="仿宋_GB2312"/>
                      <w:sz w:val="24"/>
                      <w:szCs w:val="24"/>
                      <w:vertAlign w:val="subscript"/>
                    </w:rPr>
                    <w:t>0r</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基本额定静载荷/KN</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15.2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C</w:t>
                  </w:r>
                  <w:r>
                    <w:rPr>
                      <w:rFonts w:hint="eastAsia" w:ascii="仿宋_GB2312" w:hAnsi="黑体" w:eastAsia="仿宋_GB2312"/>
                      <w:sz w:val="24"/>
                      <w:szCs w:val="24"/>
                      <w:vertAlign w:val="subscript"/>
                    </w:rPr>
                    <w:t>r</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基本额定负荷/KN</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25.5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5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n</w:t>
                  </w:r>
                </w:p>
              </w:tc>
              <w:tc>
                <w:tcPr>
                  <w:tcW w:w="2841"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极限转速r/min</w:t>
                  </w:r>
                </w:p>
              </w:tc>
              <w:tc>
                <w:tcPr>
                  <w:tcW w:w="1798" w:type="dxa"/>
                </w:tcPr>
                <w:p>
                  <w:pPr>
                    <w:spacing w:line="288" w:lineRule="auto"/>
                    <w:jc w:val="left"/>
                    <w:rPr>
                      <w:rFonts w:ascii="仿宋_GB2312" w:hAnsi="黑体" w:eastAsia="仿宋_GB2312"/>
                      <w:sz w:val="24"/>
                      <w:szCs w:val="24"/>
                    </w:rPr>
                  </w:pPr>
                  <w:r>
                    <w:rPr>
                      <w:rFonts w:hint="eastAsia" w:ascii="仿宋_GB2312" w:hAnsi="黑体" w:eastAsia="仿宋_GB2312"/>
                      <w:sz w:val="24"/>
                      <w:szCs w:val="24"/>
                    </w:rPr>
                    <w:t>8500</w:t>
                  </w:r>
                </w:p>
              </w:tc>
            </w:tr>
          </w:tbl>
          <w:p>
            <w:pPr>
              <w:spacing w:line="288" w:lineRule="auto"/>
              <w:jc w:val="left"/>
              <w:rPr>
                <w:rFonts w:ascii="仿宋_GB2312" w:hAnsi="黑体" w:eastAsia="仿宋_GB2312"/>
                <w:sz w:val="24"/>
                <w:szCs w:val="24"/>
              </w:rPr>
            </w:pPr>
            <w:r>
              <w:rPr>
                <w:rFonts w:hint="eastAsia" w:ascii="仿宋_GB2312" w:hAnsi="黑体" w:eastAsia="仿宋_GB2312"/>
                <w:sz w:val="24"/>
                <w:szCs w:val="24"/>
              </w:rPr>
              <w:t>（2）滚动轴承材料特性</w:t>
            </w:r>
          </w:p>
          <w:p>
            <w:pPr>
              <w:spacing w:line="288" w:lineRule="auto"/>
              <w:ind w:firstLine="480" w:firstLineChars="200"/>
              <w:jc w:val="left"/>
              <w:rPr>
                <w:rFonts w:ascii="仿宋_GB2312" w:hAnsi="黑体" w:eastAsia="仿宋_GB2312"/>
                <w:sz w:val="24"/>
                <w:szCs w:val="24"/>
              </w:rPr>
            </w:pPr>
            <w:r>
              <w:rPr>
                <w:rFonts w:hint="eastAsia" w:ascii="仿宋_GB2312" w:hAnsi="黑体" w:eastAsia="仿宋_GB2312"/>
                <w:sz w:val="24"/>
                <w:szCs w:val="24"/>
              </w:rPr>
              <w:t>滚动轴承一般在高速和重载环境下工作，因此材料一般采用高碳铬轴承钢，本文以</w:t>
            </w:r>
            <w:r>
              <w:rPr>
                <w:rFonts w:ascii="仿宋_GB2312" w:hAnsi="黑体" w:eastAsia="仿宋_GB2312"/>
                <w:sz w:val="24"/>
                <w:szCs w:val="24"/>
              </w:rPr>
              <w:t>GCr15SiMn</w:t>
            </w:r>
            <w:r>
              <w:rPr>
                <w:rFonts w:hint="eastAsia" w:ascii="仿宋_GB2312" w:hAnsi="黑体" w:eastAsia="仿宋_GB2312"/>
                <w:sz w:val="24"/>
                <w:szCs w:val="24"/>
              </w:rPr>
              <w:t>作为轴承材料。材料特性参数如表2所示。</w:t>
            </w:r>
          </w:p>
          <w:p>
            <w:pPr>
              <w:spacing w:line="288" w:lineRule="auto"/>
              <w:ind w:firstLine="2400" w:firstLineChars="1000"/>
              <w:jc w:val="left"/>
              <w:rPr>
                <w:rFonts w:ascii="仿宋_GB2312" w:hAnsi="黑体" w:eastAsia="仿宋_GB2312"/>
                <w:sz w:val="24"/>
                <w:szCs w:val="24"/>
              </w:rPr>
            </w:pPr>
            <w:r>
              <w:rPr>
                <w:rFonts w:hint="eastAsia" w:ascii="仿宋_GB2312" w:hAnsi="黑体" w:eastAsia="仿宋_GB2312"/>
                <w:sz w:val="24"/>
                <w:szCs w:val="24"/>
              </w:rPr>
              <w:t>表2滚动轴承材料特性</w:t>
            </w:r>
          </w:p>
          <w:tbl>
            <w:tblPr>
              <w:tblStyle w:val="9"/>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47"/>
              <w:gridCol w:w="1182"/>
              <w:gridCol w:w="1351"/>
              <w:gridCol w:w="1106"/>
              <w:gridCol w:w="1418"/>
              <w:gridCol w:w="1059"/>
              <w:gridCol w:w="1259"/>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7"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名称</w:t>
                  </w:r>
                </w:p>
              </w:tc>
              <w:tc>
                <w:tcPr>
                  <w:tcW w:w="1182"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牌号</w:t>
                  </w:r>
                </w:p>
              </w:tc>
              <w:tc>
                <w:tcPr>
                  <w:tcW w:w="1351"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弹性模量E/GPa</w:t>
                  </w:r>
                </w:p>
              </w:tc>
              <w:tc>
                <w:tcPr>
                  <w:tcW w:w="1106"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泊松比μ</w:t>
                  </w:r>
                </w:p>
              </w:tc>
              <w:tc>
                <w:tcPr>
                  <w:tcW w:w="1418"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密度ρ/（kg/mm</w:t>
                  </w:r>
                  <w:r>
                    <w:rPr>
                      <w:rFonts w:hint="eastAsia" w:ascii="仿宋_GB2312" w:hAnsi="黑体" w:eastAsia="仿宋_GB2312"/>
                      <w:szCs w:val="21"/>
                      <w:vertAlign w:val="superscript"/>
                    </w:rPr>
                    <w:t>3</w:t>
                  </w:r>
                  <w:r>
                    <w:rPr>
                      <w:rFonts w:hint="eastAsia" w:ascii="仿宋_GB2312" w:hAnsi="黑体" w:eastAsia="仿宋_GB2312"/>
                      <w:szCs w:val="21"/>
                    </w:rPr>
                    <w:t>）</w:t>
                  </w:r>
                </w:p>
              </w:tc>
              <w:tc>
                <w:tcPr>
                  <w:tcW w:w="1059"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抗弯强度</w:t>
                  </w:r>
                </w:p>
              </w:tc>
              <w:tc>
                <w:tcPr>
                  <w:tcW w:w="1259" w:type="dxa"/>
                  <w:tcBorders>
                    <w:top w:val="single" w:color="auto" w:sz="4" w:space="0"/>
                    <w:bottom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屈服强度/MPa</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147"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高碳铬轴承钢</w:t>
                  </w:r>
                </w:p>
              </w:tc>
              <w:tc>
                <w:tcPr>
                  <w:tcW w:w="1182"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GCr15SiMn</w:t>
                  </w:r>
                </w:p>
              </w:tc>
              <w:tc>
                <w:tcPr>
                  <w:tcW w:w="1351"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216</w:t>
                  </w:r>
                </w:p>
              </w:tc>
              <w:tc>
                <w:tcPr>
                  <w:tcW w:w="1106"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0.3</w:t>
                  </w:r>
                </w:p>
              </w:tc>
              <w:tc>
                <w:tcPr>
                  <w:tcW w:w="1418"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7.82e-6</w:t>
                  </w:r>
                </w:p>
              </w:tc>
              <w:tc>
                <w:tcPr>
                  <w:tcW w:w="1059"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861</w:t>
                  </w:r>
                </w:p>
              </w:tc>
              <w:tc>
                <w:tcPr>
                  <w:tcW w:w="1259" w:type="dxa"/>
                  <w:tcBorders>
                    <w:top w:val="single" w:color="auto" w:sz="4" w:space="0"/>
                  </w:tcBorders>
                  <w:vAlign w:val="center"/>
                </w:tcPr>
                <w:p>
                  <w:pPr>
                    <w:spacing w:line="288" w:lineRule="auto"/>
                    <w:jc w:val="left"/>
                    <w:rPr>
                      <w:rFonts w:ascii="仿宋_GB2312" w:hAnsi="黑体" w:eastAsia="仿宋_GB2312"/>
                      <w:szCs w:val="21"/>
                    </w:rPr>
                  </w:pPr>
                  <w:r>
                    <w:rPr>
                      <w:rFonts w:hint="eastAsia" w:ascii="仿宋_GB2312" w:hAnsi="黑体" w:eastAsia="仿宋_GB2312"/>
                      <w:szCs w:val="21"/>
                    </w:rPr>
                    <w:t>518</w:t>
                  </w:r>
                </w:p>
              </w:tc>
            </w:tr>
          </w:tbl>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r>
              <w:rPr>
                <w:rFonts w:hint="eastAsia" w:ascii="仿宋_GB2312" w:hAnsi="黑体" w:eastAsia="仿宋_GB2312"/>
                <w:sz w:val="24"/>
                <w:szCs w:val="24"/>
              </w:rPr>
              <w:t>（二）实验过程</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（1）滚动轴承三维模型的建立</w:t>
            </w:r>
          </w:p>
          <w:p>
            <w:pPr>
              <w:spacing w:line="288" w:lineRule="auto"/>
              <w:ind w:firstLine="480" w:firstLineChars="200"/>
              <w:jc w:val="left"/>
              <w:rPr>
                <w:rFonts w:ascii="仿宋_GB2312" w:hAnsi="黑体" w:eastAsia="仿宋_GB2312"/>
                <w:sz w:val="24"/>
                <w:szCs w:val="24"/>
              </w:rPr>
            </w:pPr>
            <w:r>
              <w:rPr>
                <w:rFonts w:hint="eastAsia" w:ascii="仿宋_GB2312" w:hAnsi="黑体" w:eastAsia="仿宋_GB2312"/>
                <w:sz w:val="24"/>
                <w:szCs w:val="24"/>
              </w:rPr>
              <w:t>在建模环境下利用UGNX软件，分别建立轴承内圈、轴承外圈、滚动体、保持架等轴承元件的三维模型。在仿真装配环境下进行滚动轴承装配。建立从而建立滚动轴承三维模型。</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（2）有限元模型和仿真模型的建立</w:t>
            </w:r>
          </w:p>
          <w:p>
            <w:pPr>
              <w:spacing w:line="288" w:lineRule="auto"/>
              <w:ind w:firstLine="480" w:firstLineChars="200"/>
              <w:jc w:val="left"/>
              <w:rPr>
                <w:rFonts w:ascii="仿宋_GB2312" w:hAnsi="黑体" w:eastAsia="仿宋_GB2312"/>
                <w:sz w:val="24"/>
                <w:szCs w:val="24"/>
              </w:rPr>
            </w:pPr>
            <w:r>
              <w:rPr>
                <w:rFonts w:hint="eastAsia" w:ascii="仿宋_GB2312" w:hAnsi="黑体" w:eastAsia="仿宋_GB2312"/>
                <w:sz w:val="24"/>
                <w:szCs w:val="24"/>
              </w:rPr>
              <w:t>在高级仿真环境下，设置材料属性，实体属性为PSOLID1，单元属性CTETRA10四面体网格。滚动体单元大小为1mm，内、外圈单元大小5mm，采用自由网格划分，单元总数为38124个，节点总数为64332个。解算方案为SESTATIC101-单约束，仿真对象类型为面对面接触，共建立30个接触对。有限元模型如图1所示，仿真模型如图2所示。</w:t>
            </w:r>
          </w:p>
          <w:p>
            <w:pPr>
              <w:spacing w:line="288" w:lineRule="auto"/>
              <w:jc w:val="left"/>
              <w:rPr>
                <w:rFonts w:ascii="仿宋_GB2312" w:hAnsi="黑体" w:eastAsia="仿宋_GB2312"/>
                <w:sz w:val="24"/>
                <w:szCs w:val="24"/>
              </w:rPr>
            </w:pPr>
            <w:r>
              <w:rPr>
                <w:rFonts w:ascii="仿宋_GB2312" w:hAnsi="黑体" w:eastAsia="仿宋_GB2312"/>
                <w:sz w:val="24"/>
                <w:szCs w:val="24"/>
              </w:rPr>
              <w:drawing>
                <wp:inline distT="0" distB="0" distL="0" distR="0">
                  <wp:extent cx="1688465" cy="158686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1695959" cy="1594285"/>
                          </a:xfrm>
                          <a:prstGeom prst="rect">
                            <a:avLst/>
                          </a:prstGeom>
                        </pic:spPr>
                      </pic:pic>
                    </a:graphicData>
                  </a:graphic>
                </wp:inline>
              </w:drawing>
            </w:r>
            <w:r>
              <w:rPr>
                <w:rFonts w:hint="eastAsia" w:ascii="仿宋_GB2312" w:hAnsi="黑体" w:eastAsia="仿宋_GB2312"/>
                <w:sz w:val="24"/>
                <w:szCs w:val="24"/>
              </w:rPr>
              <w:t xml:space="preserve">        </w:t>
            </w:r>
            <w:r>
              <w:rPr>
                <w:rFonts w:ascii="仿宋_GB2312" w:hAnsi="黑体" w:eastAsia="仿宋_GB2312"/>
                <w:sz w:val="24"/>
                <w:szCs w:val="24"/>
              </w:rPr>
              <w:drawing>
                <wp:inline distT="0" distB="0" distL="0" distR="0">
                  <wp:extent cx="157162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582101" cy="1515785"/>
                          </a:xfrm>
                          <a:prstGeom prst="rect">
                            <a:avLst/>
                          </a:prstGeom>
                        </pic:spPr>
                      </pic:pic>
                    </a:graphicData>
                  </a:graphic>
                </wp:inline>
              </w:drawing>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 xml:space="preserve">   图1 有限元模型                  图2仿真模型</w:t>
            </w:r>
          </w:p>
          <w:p>
            <w:pPr>
              <w:spacing w:line="288" w:lineRule="auto"/>
              <w:jc w:val="left"/>
              <w:rPr>
                <w:rFonts w:ascii="仿宋_GB2312" w:hAnsi="黑体" w:eastAsia="仿宋_GB2312"/>
                <w:sz w:val="24"/>
                <w:szCs w:val="24"/>
              </w:rPr>
            </w:pPr>
          </w:p>
          <w:p>
            <w:pPr>
              <w:pStyle w:val="14"/>
              <w:numPr>
                <w:ilvl w:val="0"/>
                <w:numId w:val="4"/>
              </w:numPr>
              <w:spacing w:line="288" w:lineRule="auto"/>
              <w:ind w:firstLineChars="0"/>
              <w:jc w:val="left"/>
              <w:rPr>
                <w:rFonts w:ascii="仿宋_GB2312" w:hAnsi="黑体" w:eastAsia="仿宋_GB2312"/>
                <w:sz w:val="24"/>
                <w:szCs w:val="24"/>
              </w:rPr>
            </w:pPr>
            <w:r>
              <w:rPr>
                <w:rFonts w:hint="eastAsia" w:ascii="仿宋_GB2312" w:hAnsi="黑体" w:eastAsia="仿宋_GB2312"/>
                <w:sz w:val="24"/>
                <w:szCs w:val="24"/>
              </w:rPr>
              <w:t>载荷作为变量分别施加</w:t>
            </w:r>
          </w:p>
          <w:p>
            <w:pPr>
              <w:spacing w:line="288" w:lineRule="auto"/>
              <w:ind w:firstLine="480" w:firstLineChars="200"/>
              <w:jc w:val="left"/>
              <w:rPr>
                <w:rFonts w:ascii="仿宋_GB2312" w:hAnsi="黑体" w:eastAsia="仿宋_GB2312"/>
                <w:sz w:val="24"/>
                <w:szCs w:val="24"/>
              </w:rPr>
            </w:pPr>
            <w:r>
              <w:rPr>
                <w:rFonts w:hint="eastAsia" w:ascii="仿宋_GB2312" w:hAnsi="黑体" w:eastAsia="仿宋_GB2312"/>
                <w:sz w:val="24"/>
                <w:szCs w:val="24"/>
              </w:rPr>
              <w:t>在轴承内圈承载区上分别施加5000N、10000N、15000N、20000N的径向作用力。轴承内圈左右两侧施加固定约束。</w:t>
            </w:r>
          </w:p>
          <w:p>
            <w:pPr>
              <w:spacing w:line="288" w:lineRule="auto"/>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42" w:hRule="atLeast"/>
          <w:jc w:val="center"/>
        </w:trPr>
        <w:tc>
          <w:tcPr>
            <w:tcW w:w="8572" w:type="dxa"/>
            <w:tcBorders>
              <w:top w:val="single" w:color="auto" w:sz="4" w:space="0"/>
            </w:tcBorders>
          </w:tcPr>
          <w:p>
            <w:pPr>
              <w:spacing w:line="288" w:lineRule="auto"/>
              <w:jc w:val="left"/>
              <w:rPr>
                <w:rFonts w:ascii="Times New Roman" w:hAnsi="Times New Roman" w:eastAsia="仿宋_GB2312"/>
                <w:sz w:val="24"/>
                <w:szCs w:val="24"/>
              </w:rPr>
            </w:pPr>
            <w:r>
              <w:rPr>
                <w:rFonts w:ascii="黑体" w:hAnsi="黑体" w:eastAsia="黑体"/>
                <w:sz w:val="24"/>
                <w:szCs w:val="24"/>
              </w:rPr>
              <w:t>3-6</w:t>
            </w:r>
            <w:r>
              <w:rPr>
                <w:rFonts w:hint="eastAsia" w:ascii="黑体" w:hAnsi="黑体" w:eastAsia="黑体"/>
                <w:sz w:val="24"/>
                <w:szCs w:val="24"/>
              </w:rPr>
              <w:t>步骤要求</w:t>
            </w:r>
            <w:r>
              <w:rPr>
                <w:rFonts w:hint="eastAsia" w:ascii="Times New Roman" w:hAnsi="Times New Roman" w:eastAsia="仿宋_GB2312"/>
                <w:sz w:val="24"/>
                <w:szCs w:val="24"/>
              </w:rPr>
              <w:t>（不少于10步的学生交互性操作步骤。</w:t>
            </w:r>
            <w:r>
              <w:rPr>
                <w:rFonts w:ascii="Times New Roman" w:hAnsi="Times New Roman" w:eastAsia="仿宋_GB2312"/>
                <w:sz w:val="24"/>
                <w:szCs w:val="24"/>
              </w:rPr>
              <w:t>操作步骤应反映实质性实验交互，系统加载之类的步骤不</w:t>
            </w:r>
            <w:r>
              <w:rPr>
                <w:rFonts w:hint="eastAsia" w:ascii="Times New Roman" w:hAnsi="Times New Roman" w:eastAsia="仿宋_GB2312"/>
                <w:sz w:val="24"/>
                <w:szCs w:val="24"/>
              </w:rPr>
              <w:t>计入在内）</w:t>
            </w:r>
          </w:p>
          <w:p>
            <w:pPr>
              <w:pStyle w:val="14"/>
              <w:numPr>
                <w:ilvl w:val="255"/>
                <w:numId w:val="0"/>
              </w:num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（1）学生交互性操作</w:t>
            </w:r>
            <w:r>
              <w:rPr>
                <w:rFonts w:ascii="Times New Roman" w:hAnsi="Times New Roman" w:eastAsia="仿宋_GB2312"/>
                <w:sz w:val="24"/>
                <w:szCs w:val="24"/>
              </w:rPr>
              <w:t>步骤</w:t>
            </w:r>
            <w:r>
              <w:rPr>
                <w:rFonts w:hint="eastAsia" w:ascii="Times New Roman" w:hAnsi="Times New Roman" w:eastAsia="仿宋_GB2312"/>
                <w:sz w:val="24"/>
                <w:szCs w:val="24"/>
              </w:rPr>
              <w:t>，共 11 步</w:t>
            </w:r>
          </w:p>
          <w:tbl>
            <w:tblPr>
              <w:tblStyle w:val="8"/>
              <w:tblW w:w="7938"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275"/>
              <w:gridCol w:w="1276"/>
              <w:gridCol w:w="1559"/>
              <w:gridCol w:w="851"/>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步骤序号</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步骤目标要求</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步骤合理用时</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目标达成度赋分模型</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步骤满分</w:t>
                  </w:r>
                </w:p>
              </w:tc>
              <w:tc>
                <w:tcPr>
                  <w:tcW w:w="212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成绩</w:t>
                  </w:r>
                  <w:r>
                    <w:rPr>
                      <w:rFonts w:ascii="Times New Roman" w:hAnsi="Times New Roman" w:eastAsia="仿宋_GB2312"/>
                      <w:sz w:val="24"/>
                      <w:szCs w:val="24"/>
                    </w:rPr>
                    <w:t>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查阅滚动轴承几何参数</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5分钟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几何参数查阅个数</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5分</w:t>
                  </w:r>
                </w:p>
              </w:tc>
              <w:tc>
                <w:tcPr>
                  <w:tcW w:w="2126" w:type="dxa"/>
                  <w:vMerge w:val="restart"/>
                  <w:vAlign w:val="center"/>
                </w:tcPr>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■操作</w:t>
                  </w:r>
                  <w:r>
                    <w:rPr>
                      <w:rFonts w:ascii="Times New Roman" w:hAnsi="Times New Roman" w:eastAsia="仿宋_GB2312"/>
                      <w:sz w:val="24"/>
                      <w:szCs w:val="24"/>
                    </w:rPr>
                    <w:t>成绩</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w:t>
                  </w:r>
                  <w:r>
                    <w:rPr>
                      <w:rFonts w:ascii="Times New Roman" w:hAnsi="Times New Roman" w:eastAsia="仿宋_GB2312"/>
                      <w:sz w:val="24"/>
                      <w:szCs w:val="24"/>
                    </w:rPr>
                    <w:t>实验报告</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t>□预习成绩</w:t>
                  </w:r>
                </w:p>
                <w:p>
                  <w:pPr>
                    <w:spacing w:line="288" w:lineRule="auto"/>
                    <w:rPr>
                      <w:rFonts w:ascii="仿宋" w:hAnsi="仿宋" w:eastAsia="仿宋"/>
                      <w:szCs w:val="21"/>
                    </w:rPr>
                  </w:pPr>
                  <w:r>
                    <w:rPr>
                      <w:rFonts w:hint="eastAsia" w:ascii="Times New Roman" w:hAnsi="Times New Roman" w:eastAsia="仿宋_GB2312"/>
                      <w:sz w:val="24"/>
                      <w:szCs w:val="24"/>
                    </w:rPr>
                    <w:sym w:font="Wingdings 2" w:char="00A3"/>
                  </w:r>
                  <w:r>
                    <w:rPr>
                      <w:rFonts w:ascii="Times New Roman" w:hAnsi="Times New Roman" w:eastAsia="仿宋_GB2312"/>
                      <w:sz w:val="24"/>
                      <w:szCs w:val="24"/>
                    </w:rPr>
                    <w:t>教师评价报告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2</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滚动轴承材料特性参数</w:t>
                  </w:r>
                </w:p>
              </w:tc>
              <w:tc>
                <w:tcPr>
                  <w:tcW w:w="1276" w:type="dxa"/>
                  <w:vAlign w:val="center"/>
                </w:tcPr>
                <w:p>
                  <w:pPr>
                    <w:spacing w:line="288" w:lineRule="auto"/>
                    <w:ind w:firstLine="210" w:firstLineChars="100"/>
                    <w:jc w:val="center"/>
                    <w:rPr>
                      <w:rFonts w:ascii="仿宋" w:hAnsi="仿宋" w:eastAsia="仿宋"/>
                      <w:szCs w:val="21"/>
                    </w:rPr>
                  </w:pPr>
                  <w:r>
                    <w:rPr>
                      <w:rFonts w:hint="eastAsia" w:ascii="仿宋" w:hAnsi="仿宋" w:eastAsia="仿宋"/>
                      <w:szCs w:val="21"/>
                    </w:rPr>
                    <w:t>5分钟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特性参数查阅个数</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3</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滚动轴承三维装配模型的建立</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30分钟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三维模型建立</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4</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滚动轴承有限元模型的建立</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20分钟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有限元模型建立</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5</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滚动轴承仿真模型的建立，加载5000N</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20分钟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仿真模型的建立</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5"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6</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仿真结果分析及数据采集</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30分钟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结果分析情况及数据采集情况</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15分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7</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重复第5步，重新加载10000N，仿真结果分</w:t>
                  </w:r>
                </w:p>
                <w:p>
                  <w:pPr>
                    <w:spacing w:line="288" w:lineRule="auto"/>
                    <w:jc w:val="center"/>
                    <w:rPr>
                      <w:rFonts w:ascii="仿宋" w:hAnsi="仿宋" w:eastAsia="仿宋"/>
                      <w:szCs w:val="21"/>
                    </w:rPr>
                  </w:pPr>
                  <w:r>
                    <w:rPr>
                      <w:rFonts w:hint="eastAsia" w:ascii="仿宋" w:hAnsi="仿宋" w:eastAsia="仿宋"/>
                      <w:szCs w:val="21"/>
                    </w:rPr>
                    <w:t>析数据采集</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30分钟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结果分析情况及数据采集情况</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10分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8</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重复第5步，重新加载15000N，仿真结果分</w:t>
                  </w:r>
                </w:p>
                <w:p>
                  <w:pPr>
                    <w:spacing w:line="288" w:lineRule="auto"/>
                    <w:jc w:val="center"/>
                    <w:rPr>
                      <w:rFonts w:ascii="仿宋" w:hAnsi="仿宋" w:eastAsia="仿宋"/>
                      <w:szCs w:val="21"/>
                    </w:rPr>
                  </w:pPr>
                  <w:r>
                    <w:rPr>
                      <w:rFonts w:hint="eastAsia" w:ascii="仿宋" w:hAnsi="仿宋" w:eastAsia="仿宋"/>
                      <w:szCs w:val="21"/>
                    </w:rPr>
                    <w:t>析数据采集</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30分钟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结果分析情况及数据采集情况</w:t>
                  </w:r>
                </w:p>
              </w:tc>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10分</w:t>
                  </w: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9</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重复第5步，重新加载20000N，仿真结果分</w:t>
                  </w:r>
                </w:p>
                <w:p>
                  <w:pPr>
                    <w:spacing w:line="288" w:lineRule="auto"/>
                    <w:jc w:val="center"/>
                    <w:rPr>
                      <w:rFonts w:ascii="仿宋" w:hAnsi="仿宋" w:eastAsia="仿宋"/>
                      <w:szCs w:val="21"/>
                    </w:rPr>
                  </w:pPr>
                  <w:r>
                    <w:rPr>
                      <w:rFonts w:hint="eastAsia" w:ascii="仿宋" w:hAnsi="仿宋" w:eastAsia="仿宋"/>
                      <w:szCs w:val="21"/>
                    </w:rPr>
                    <w:t>析数据采集</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20分钟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结果分析情况及数据采集情况</w:t>
                  </w:r>
                </w:p>
              </w:tc>
              <w:tc>
                <w:tcPr>
                  <w:tcW w:w="851" w:type="dxa"/>
                  <w:vAlign w:val="center"/>
                </w:tcPr>
                <w:p>
                  <w:pPr>
                    <w:spacing w:line="288" w:lineRule="auto"/>
                    <w:jc w:val="center"/>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10</w:t>
                  </w:r>
                </w:p>
              </w:tc>
              <w:tc>
                <w:tcPr>
                  <w:tcW w:w="1275" w:type="dxa"/>
                  <w:vAlign w:val="center"/>
                </w:tcPr>
                <w:p>
                  <w:pPr>
                    <w:spacing w:line="288" w:lineRule="auto"/>
                    <w:jc w:val="center"/>
                    <w:rPr>
                      <w:rFonts w:ascii="仿宋" w:hAnsi="仿宋" w:eastAsia="仿宋"/>
                      <w:szCs w:val="21"/>
                    </w:rPr>
                  </w:pPr>
                  <w:r>
                    <w:rPr>
                      <w:rFonts w:hint="eastAsia" w:ascii="仿宋" w:hAnsi="仿宋" w:eastAsia="仿宋"/>
                      <w:szCs w:val="21"/>
                    </w:rPr>
                    <w:t>将数据生成数学函数</w:t>
                  </w:r>
                </w:p>
              </w:tc>
              <w:tc>
                <w:tcPr>
                  <w:tcW w:w="1276" w:type="dxa"/>
                  <w:vAlign w:val="center"/>
                </w:tcPr>
                <w:p>
                  <w:pPr>
                    <w:spacing w:line="288" w:lineRule="auto"/>
                    <w:jc w:val="center"/>
                    <w:rPr>
                      <w:rFonts w:ascii="仿宋" w:hAnsi="仿宋" w:eastAsia="仿宋"/>
                      <w:szCs w:val="21"/>
                    </w:rPr>
                  </w:pPr>
                  <w:r>
                    <w:rPr>
                      <w:rFonts w:hint="eastAsia" w:ascii="仿宋" w:hAnsi="仿宋" w:eastAsia="仿宋"/>
                      <w:szCs w:val="21"/>
                    </w:rPr>
                    <w:t>10分钟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rPr>
                    <w:t>函数图线</w:t>
                  </w:r>
                </w:p>
              </w:tc>
              <w:tc>
                <w:tcPr>
                  <w:tcW w:w="851" w:type="dxa"/>
                  <w:vAlign w:val="center"/>
                </w:tcPr>
                <w:p>
                  <w:pPr>
                    <w:spacing w:line="288" w:lineRule="auto"/>
                    <w:jc w:val="center"/>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11</w:t>
                  </w:r>
                </w:p>
              </w:tc>
              <w:tc>
                <w:tcPr>
                  <w:tcW w:w="1275" w:type="dxa"/>
                </w:tcPr>
                <w:p>
                  <w:pPr>
                    <w:jc w:val="center"/>
                  </w:pPr>
                  <w:r>
                    <w:rPr>
                      <w:rFonts w:hint="eastAsia" w:ascii="仿宋" w:hAnsi="仿宋" w:eastAsia="仿宋"/>
                      <w:szCs w:val="21"/>
                    </w:rPr>
                    <w:t>实验报告的撰写</w:t>
                  </w:r>
                </w:p>
              </w:tc>
              <w:tc>
                <w:tcPr>
                  <w:tcW w:w="1276" w:type="dxa"/>
                </w:tcPr>
                <w:p>
                  <w:pPr>
                    <w:jc w:val="center"/>
                  </w:pPr>
                  <w:r>
                    <w:rPr>
                      <w:rFonts w:hint="eastAsia" w:ascii="仿宋" w:hAnsi="仿宋" w:eastAsia="仿宋"/>
                      <w:szCs w:val="21"/>
                    </w:rPr>
                    <w:t>30分钟</w:t>
                  </w:r>
                </w:p>
              </w:tc>
              <w:tc>
                <w:tcPr>
                  <w:tcW w:w="1559" w:type="dxa"/>
                </w:tcPr>
                <w:p>
                  <w:pPr>
                    <w:jc w:val="center"/>
                  </w:pPr>
                  <w:r>
                    <w:rPr>
                      <w:rFonts w:hint="eastAsia" w:ascii="仿宋" w:hAnsi="仿宋" w:eastAsia="仿宋"/>
                      <w:szCs w:val="21"/>
                    </w:rPr>
                    <w:t>报告撰写质量</w:t>
                  </w:r>
                </w:p>
              </w:tc>
              <w:tc>
                <w:tcPr>
                  <w:tcW w:w="851" w:type="dxa"/>
                </w:tcPr>
                <w:p>
                  <w:pPr>
                    <w:jc w:val="center"/>
                  </w:pPr>
                  <w:r>
                    <w:rPr>
                      <w:rFonts w:hint="eastAsia" w:ascii="仿宋" w:hAnsi="仿宋" w:eastAsia="仿宋"/>
                      <w:szCs w:val="21"/>
                    </w:rPr>
                    <w:t>10分</w:t>
                  </w:r>
                </w:p>
              </w:tc>
              <w:tc>
                <w:tcPr>
                  <w:tcW w:w="2126" w:type="dxa"/>
                  <w:vAlign w:val="center"/>
                </w:tcPr>
                <w:p>
                  <w:pPr>
                    <w:spacing w:line="288" w:lineRule="auto"/>
                    <w:jc w:val="left"/>
                    <w:rPr>
                      <w:rFonts w:ascii="仿宋" w:hAnsi="仿宋" w:eastAsia="仿宋"/>
                      <w:szCs w:val="21"/>
                    </w:rPr>
                  </w:pPr>
                </w:p>
              </w:tc>
            </w:tr>
          </w:tbl>
          <w:p>
            <w:pPr>
              <w:pStyle w:val="14"/>
              <w:numPr>
                <w:ilvl w:val="255"/>
                <w:numId w:val="0"/>
              </w:numPr>
              <w:spacing w:line="288" w:lineRule="auto"/>
              <w:jc w:val="left"/>
              <w:rPr>
                <w:rFonts w:ascii="黑体" w:hAnsi="黑体" w:eastAsia="黑体"/>
                <w:sz w:val="24"/>
                <w:szCs w:val="24"/>
              </w:rPr>
            </w:pPr>
            <w:r>
              <w:rPr>
                <w:rFonts w:hint="eastAsia" w:ascii="Times New Roman" w:hAnsi="Times New Roman" w:eastAsia="仿宋_GB2312"/>
                <w:sz w:val="24"/>
                <w:szCs w:val="24"/>
              </w:rPr>
              <w:t>（2）交互性</w:t>
            </w:r>
            <w:r>
              <w:rPr>
                <w:rFonts w:ascii="Times New Roman" w:hAnsi="Times New Roman" w:eastAsia="仿宋_GB2312"/>
                <w:sz w:val="24"/>
                <w:szCs w:val="24"/>
              </w:rPr>
              <w:t>步骤</w:t>
            </w:r>
            <w:r>
              <w:rPr>
                <w:rFonts w:hint="eastAsia" w:ascii="Times New Roman" w:hAnsi="Times New Roman" w:eastAsia="仿宋_GB2312"/>
                <w:sz w:val="24"/>
                <w:szCs w:val="24"/>
              </w:rPr>
              <w:t>详细</w:t>
            </w:r>
            <w:r>
              <w:rPr>
                <w:rFonts w:ascii="Times New Roman" w:hAnsi="Times New Roman" w:eastAsia="仿宋_GB2312"/>
                <w:sz w:val="24"/>
                <w:szCs w:val="24"/>
              </w:rPr>
              <w:t>说明</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第1步：以6207滚动轴承为实验对象，首先通过机械设计手册查阅滚动轴承6207的几何参数，包括轴承的内径、外径、宽度、节圆直径、滚动体数目、基本额定静载荷、基本额定静载荷、极限转速等。</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第2步：选取滚动轴承常用材料GCr15SiMn，并通过机械设计手册查阅高碳铬轴承钢的弹性模量、泊松比、密度、屈服强度和抗拉强度等参数。</w:t>
            </w:r>
          </w:p>
          <w:p>
            <w:pPr>
              <w:spacing w:line="288" w:lineRule="auto"/>
              <w:jc w:val="left"/>
              <w:rPr>
                <w:rFonts w:ascii="仿宋" w:hAnsi="仿宋" w:eastAsia="仿宋"/>
                <w:sz w:val="24"/>
                <w:szCs w:val="24"/>
              </w:rPr>
            </w:pPr>
            <w:r>
              <w:rPr>
                <w:rFonts w:hint="eastAsia" w:ascii="仿宋" w:hAnsi="仿宋" w:eastAsia="仿宋"/>
                <w:sz w:val="24"/>
                <w:szCs w:val="24"/>
              </w:rPr>
              <w:t xml:space="preserve">    第3步：打开电脑，进入UGNX软件建模环境；在建模环境下，利用旋转、拉伸、阵列、布尔运算等命令分别建立轴承外圈、轴承内圈、保持架、滚动体的三维模型；并在装配环境下利用接触约束、距离约束、同心约束等命令进行轴承装配。</w:t>
            </w:r>
          </w:p>
          <w:p>
            <w:pPr>
              <w:spacing w:line="288" w:lineRule="auto"/>
              <w:jc w:val="left"/>
              <w:rPr>
                <w:rFonts w:ascii="仿宋" w:hAnsi="仿宋" w:eastAsia="仿宋"/>
                <w:sz w:val="24"/>
                <w:szCs w:val="24"/>
              </w:rPr>
            </w:pPr>
            <w:r>
              <w:rPr>
                <w:rFonts w:hint="eastAsia" w:ascii="仿宋" w:hAnsi="仿宋" w:eastAsia="仿宋"/>
                <w:sz w:val="24"/>
                <w:szCs w:val="24"/>
              </w:rPr>
              <w:t xml:space="preserve">    第4步：进入仿真环境，根据输入轴承材料，设定力学参数；设置物理属性，利用3D网格，进行滚动轴承网格划分；滚动体网格划分要细，内外圈网格划分尺寸可以稍大。建立了有限元模型。</w:t>
            </w:r>
          </w:p>
          <w:p>
            <w:pPr>
              <w:spacing w:line="288" w:lineRule="auto"/>
              <w:jc w:val="left"/>
              <w:rPr>
                <w:rFonts w:ascii="仿宋" w:hAnsi="仿宋" w:eastAsia="仿宋"/>
                <w:sz w:val="24"/>
                <w:szCs w:val="24"/>
              </w:rPr>
            </w:pPr>
            <w:r>
              <w:rPr>
                <w:rFonts w:hint="eastAsia" w:ascii="仿宋" w:hAnsi="仿宋" w:eastAsia="仿宋"/>
                <w:sz w:val="24"/>
                <w:szCs w:val="24"/>
              </w:rPr>
              <w:t xml:space="preserve">    第5步：建立仿真模型：在有限元模型上，根据实际情况设置内圈左侧断面固定约束、外圈右侧断面固定约束；同时沿直径方向施加径向载荷5000N，并自动检索面对接触。设置完成后进入计算机解算。</w:t>
            </w:r>
          </w:p>
          <w:p>
            <w:pPr>
              <w:spacing w:line="288" w:lineRule="auto"/>
              <w:jc w:val="left"/>
              <w:rPr>
                <w:rFonts w:ascii="仿宋" w:hAnsi="仿宋" w:eastAsia="仿宋"/>
                <w:sz w:val="24"/>
                <w:szCs w:val="24"/>
              </w:rPr>
            </w:pPr>
            <w:r>
              <w:rPr>
                <w:rFonts w:hint="eastAsia" w:ascii="仿宋" w:hAnsi="仿宋" w:eastAsia="仿宋"/>
                <w:sz w:val="24"/>
                <w:szCs w:val="24"/>
              </w:rPr>
              <w:t xml:space="preserve">    第6步：解算结束后，查看仿真结果。分别查看轴承内圈、外圈、滚动体保持架等元件的最大应力、最大应变。同时记录每个滚动体最大应力，观察轴承元件的变形情况。</w:t>
            </w:r>
          </w:p>
          <w:p>
            <w:pPr>
              <w:spacing w:line="288" w:lineRule="auto"/>
              <w:jc w:val="left"/>
              <w:rPr>
                <w:rFonts w:ascii="仿宋" w:hAnsi="仿宋" w:eastAsia="仿宋"/>
                <w:sz w:val="24"/>
                <w:szCs w:val="24"/>
              </w:rPr>
            </w:pPr>
            <w:r>
              <w:rPr>
                <w:rFonts w:hint="eastAsia" w:ascii="仿宋" w:hAnsi="仿宋" w:eastAsia="仿宋"/>
                <w:sz w:val="24"/>
                <w:szCs w:val="24"/>
              </w:rPr>
              <w:t xml:space="preserve">     第7-9步：退出结果查看环境，分别施加10000N、15000N、20000N，先后进行仿真解算，并查看结果，记录收集数据。</w:t>
            </w:r>
          </w:p>
          <w:p>
            <w:pPr>
              <w:spacing w:line="288" w:lineRule="auto"/>
              <w:jc w:val="left"/>
              <w:rPr>
                <w:rFonts w:ascii="仿宋" w:hAnsi="仿宋" w:eastAsia="仿宋"/>
                <w:sz w:val="24"/>
                <w:szCs w:val="24"/>
              </w:rPr>
            </w:pPr>
            <w:r>
              <w:rPr>
                <w:rFonts w:hint="eastAsia" w:ascii="仿宋" w:hAnsi="仿宋" w:eastAsia="仿宋"/>
                <w:sz w:val="24"/>
                <w:szCs w:val="24"/>
              </w:rPr>
              <w:t xml:space="preserve">     第10步：整理数据、分析数据，并根据记录的数据，在绘图软件中生成函数曲线，进而分析轴承在不同载荷作用下的应力应变情况。</w:t>
            </w:r>
          </w:p>
          <w:p>
            <w:pPr>
              <w:spacing w:line="288" w:lineRule="auto"/>
              <w:jc w:val="left"/>
              <w:rPr>
                <w:rFonts w:ascii="黑体" w:hAnsi="黑体" w:eastAsia="黑体"/>
                <w:sz w:val="24"/>
                <w:szCs w:val="24"/>
              </w:rPr>
            </w:pPr>
            <w:r>
              <w:rPr>
                <w:rFonts w:hint="eastAsia" w:ascii="仿宋" w:hAnsi="仿宋" w:eastAsia="仿宋"/>
                <w:sz w:val="24"/>
                <w:szCs w:val="24"/>
              </w:rPr>
              <w:t xml:space="preserve">     第11步：撰写实验报告。包括实验目的、实验软硬件、实验内容、实验步骤、实验结果、结果分析与讨论。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jc w:val="center"/>
        </w:trPr>
        <w:tc>
          <w:tcPr>
            <w:tcW w:w="8572"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3-7实验结果与结论</w:t>
            </w:r>
            <w:r>
              <w:rPr>
                <w:rFonts w:hint="eastAsia" w:ascii="仿宋_GB2312" w:hAnsi="Times New Roman" w:eastAsia="仿宋_GB2312"/>
                <w:sz w:val="24"/>
                <w:szCs w:val="24"/>
              </w:rPr>
              <w:t>（说明在不同的实验条件和操作下可能产生的实验结果与结论）</w:t>
            </w:r>
          </w:p>
          <w:p>
            <w:pPr>
              <w:spacing w:line="288" w:lineRule="auto"/>
              <w:jc w:val="left"/>
              <w:rPr>
                <w:rFonts w:ascii="仿宋" w:hAnsi="仿宋" w:eastAsia="仿宋"/>
                <w:b/>
                <w:sz w:val="24"/>
                <w:szCs w:val="24"/>
              </w:rPr>
            </w:pPr>
            <w:r>
              <w:rPr>
                <w:rFonts w:hint="eastAsia" w:ascii="仿宋" w:hAnsi="仿宋" w:eastAsia="仿宋"/>
                <w:b/>
                <w:sz w:val="24"/>
                <w:szCs w:val="24"/>
              </w:rPr>
              <w:t>仿真结果</w:t>
            </w:r>
          </w:p>
          <w:p>
            <w:pPr>
              <w:spacing w:line="288" w:lineRule="auto"/>
              <w:jc w:val="left"/>
              <w:rPr>
                <w:rFonts w:ascii="仿宋" w:hAnsi="仿宋" w:eastAsia="仿宋"/>
                <w:sz w:val="24"/>
                <w:szCs w:val="24"/>
              </w:rPr>
            </w:pPr>
            <w:r>
              <w:rPr>
                <w:rFonts w:hint="eastAsia" w:ascii="仿宋" w:hAnsi="仿宋" w:eastAsia="仿宋"/>
                <w:sz w:val="24"/>
                <w:szCs w:val="24"/>
              </w:rPr>
              <w:t>（1）应力仿真结果</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在径向力的作用下，轴承内圈、外圈以及不同滚动体都会发生不同程度的变形，每个构件上有不同程度的</w:t>
            </w:r>
            <w:r>
              <w:rPr>
                <w:rFonts w:ascii="仿宋" w:hAnsi="仿宋" w:eastAsia="仿宋"/>
                <w:sz w:val="24"/>
                <w:szCs w:val="24"/>
              </w:rPr>
              <w:t>VonMises</w:t>
            </w:r>
            <w:r>
              <w:rPr>
                <w:rFonts w:hint="eastAsia" w:ascii="仿宋" w:hAnsi="仿宋" w:eastAsia="仿宋"/>
                <w:sz w:val="24"/>
                <w:szCs w:val="24"/>
              </w:rPr>
              <w:t>应力。轴承仿真结果如图3所示。</w:t>
            </w:r>
          </w:p>
          <w:p>
            <w:pPr>
              <w:spacing w:line="288" w:lineRule="auto"/>
              <w:jc w:val="left"/>
              <w:rPr>
                <w:rFonts w:ascii="仿宋" w:hAnsi="仿宋" w:eastAsia="仿宋"/>
                <w:sz w:val="24"/>
                <w:szCs w:val="24"/>
              </w:rPr>
            </w:pPr>
            <w:r>
              <w:rPr>
                <w:rFonts w:ascii="仿宋" w:hAnsi="仿宋" w:eastAsia="仿宋"/>
                <w:sz w:val="24"/>
                <w:szCs w:val="24"/>
              </w:rPr>
              <w:drawing>
                <wp:inline distT="0" distB="0" distL="0" distR="0">
                  <wp:extent cx="1504950" cy="16319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1508368" cy="1636246"/>
                          </a:xfrm>
                          <a:prstGeom prst="rect">
                            <a:avLst/>
                          </a:prstGeom>
                        </pic:spPr>
                      </pic:pic>
                    </a:graphicData>
                  </a:graphic>
                </wp:inline>
              </w:drawing>
            </w:r>
            <w:r>
              <w:rPr>
                <w:rFonts w:hint="eastAsia" w:ascii="仿宋" w:hAnsi="仿宋" w:eastAsia="仿宋"/>
                <w:sz w:val="24"/>
                <w:szCs w:val="24"/>
              </w:rPr>
              <w:t xml:space="preserve">             </w:t>
            </w:r>
            <w:r>
              <w:rPr>
                <w:rFonts w:ascii="仿宋" w:hAnsi="仿宋" w:eastAsia="仿宋"/>
                <w:sz w:val="24"/>
                <w:szCs w:val="24"/>
              </w:rPr>
              <w:drawing>
                <wp:inline distT="0" distB="0" distL="0" distR="0">
                  <wp:extent cx="1495425" cy="1737360"/>
                  <wp:effectExtent l="0" t="0" r="9525"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1495238" cy="1737708"/>
                          </a:xfrm>
                          <a:prstGeom prst="rect">
                            <a:avLst/>
                          </a:prstGeom>
                        </pic:spPr>
                      </pic:pic>
                    </a:graphicData>
                  </a:graphic>
                </wp:inline>
              </w:drawing>
            </w:r>
          </w:p>
          <w:p>
            <w:pPr>
              <w:spacing w:line="288" w:lineRule="auto"/>
              <w:jc w:val="left"/>
              <w:rPr>
                <w:rFonts w:ascii="仿宋" w:hAnsi="仿宋" w:eastAsia="仿宋"/>
                <w:sz w:val="24"/>
                <w:szCs w:val="24"/>
              </w:rPr>
            </w:pPr>
            <w:r>
              <w:rPr>
                <w:rFonts w:hint="eastAsia" w:ascii="仿宋" w:hAnsi="仿宋" w:eastAsia="仿宋"/>
                <w:sz w:val="24"/>
                <w:szCs w:val="24"/>
              </w:rPr>
              <w:t>滚动体单元-应力云图               外圈单元-应力云图</w:t>
            </w:r>
          </w:p>
          <w:p>
            <w:pPr>
              <w:spacing w:line="288" w:lineRule="auto"/>
              <w:jc w:val="left"/>
              <w:rPr>
                <w:rFonts w:ascii="仿宋" w:hAnsi="仿宋" w:eastAsia="仿宋"/>
                <w:sz w:val="24"/>
                <w:szCs w:val="24"/>
              </w:rPr>
            </w:pPr>
            <w:r>
              <w:rPr>
                <w:rFonts w:ascii="仿宋" w:hAnsi="仿宋" w:eastAsia="仿宋"/>
                <w:sz w:val="24"/>
                <w:szCs w:val="24"/>
              </w:rPr>
              <w:drawing>
                <wp:inline distT="0" distB="0" distL="0" distR="0">
                  <wp:extent cx="1472565" cy="14573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1469331" cy="1453943"/>
                          </a:xfrm>
                          <a:prstGeom prst="rect">
                            <a:avLst/>
                          </a:prstGeom>
                        </pic:spPr>
                      </pic:pic>
                    </a:graphicData>
                  </a:graphic>
                </wp:inline>
              </w:drawing>
            </w:r>
            <w:r>
              <w:rPr>
                <w:rFonts w:hint="eastAsia" w:ascii="仿宋" w:hAnsi="仿宋" w:eastAsia="仿宋"/>
                <w:sz w:val="24"/>
                <w:szCs w:val="24"/>
              </w:rPr>
              <w:t xml:space="preserve">             </w:t>
            </w:r>
            <w:r>
              <w:rPr>
                <w:rFonts w:ascii="仿宋" w:hAnsi="仿宋" w:eastAsia="仿宋"/>
                <w:sz w:val="24"/>
                <w:szCs w:val="24"/>
              </w:rPr>
              <w:drawing>
                <wp:inline distT="0" distB="0" distL="0" distR="0">
                  <wp:extent cx="1609725" cy="156527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1613200" cy="1568762"/>
                          </a:xfrm>
                          <a:prstGeom prst="rect">
                            <a:avLst/>
                          </a:prstGeom>
                        </pic:spPr>
                      </pic:pic>
                    </a:graphicData>
                  </a:graphic>
                </wp:inline>
              </w:drawing>
            </w:r>
          </w:p>
          <w:p>
            <w:pPr>
              <w:spacing w:line="288" w:lineRule="auto"/>
              <w:jc w:val="left"/>
              <w:rPr>
                <w:rFonts w:ascii="仿宋" w:hAnsi="仿宋" w:eastAsia="仿宋"/>
                <w:sz w:val="24"/>
                <w:szCs w:val="24"/>
              </w:rPr>
            </w:pPr>
            <w:r>
              <w:rPr>
                <w:rFonts w:hint="eastAsia" w:ascii="仿宋" w:hAnsi="仿宋" w:eastAsia="仿宋"/>
                <w:sz w:val="24"/>
                <w:szCs w:val="24"/>
              </w:rPr>
              <w:t>内圈单元-应力云图                 轴承单元-应力云图</w:t>
            </w:r>
          </w:p>
          <w:p>
            <w:pPr>
              <w:spacing w:line="288" w:lineRule="auto"/>
              <w:jc w:val="left"/>
              <w:rPr>
                <w:rFonts w:ascii="仿宋" w:hAnsi="仿宋" w:eastAsia="仿宋"/>
                <w:sz w:val="24"/>
                <w:szCs w:val="24"/>
              </w:rPr>
            </w:pPr>
            <w:r>
              <w:rPr>
                <w:rFonts w:hint="eastAsia" w:ascii="仿宋" w:hAnsi="仿宋" w:eastAsia="仿宋"/>
                <w:sz w:val="24"/>
                <w:szCs w:val="24"/>
              </w:rPr>
              <w:t xml:space="preserve">             图3轴承各元件应力云图</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从图4和表3数据可以得出，（1）在相同数值径向力作用下，轴承内圈上的VonMises最大，其次是1号滚动体上的</w:t>
            </w:r>
            <w:r>
              <w:rPr>
                <w:rFonts w:ascii="仿宋" w:hAnsi="仿宋" w:eastAsia="仿宋"/>
                <w:sz w:val="24"/>
                <w:szCs w:val="24"/>
              </w:rPr>
              <w:t>VonMises</w:t>
            </w:r>
            <w:r>
              <w:rPr>
                <w:rFonts w:hint="eastAsia" w:ascii="仿宋" w:hAnsi="仿宋" w:eastAsia="仿宋"/>
                <w:sz w:val="24"/>
                <w:szCs w:val="24"/>
              </w:rPr>
              <w:t>应力（滚动体编号见图4），外圈上的</w:t>
            </w:r>
            <w:r>
              <w:rPr>
                <w:rFonts w:ascii="仿宋" w:hAnsi="仿宋" w:eastAsia="仿宋"/>
                <w:sz w:val="24"/>
                <w:szCs w:val="24"/>
              </w:rPr>
              <w:t>VonMises</w:t>
            </w:r>
            <w:r>
              <w:rPr>
                <w:rFonts w:hint="eastAsia" w:ascii="仿宋" w:hAnsi="仿宋" w:eastAsia="仿宋"/>
                <w:sz w:val="24"/>
                <w:szCs w:val="24"/>
              </w:rPr>
              <w:t>最小。（2）在不同数值径向力作用下，轴承内圈、1号滚动体和外圈上的应力随着载荷增大且呈线性分布。随着载荷的增长，轴承内圈应力增长速度最快，滚动体次之，外圈应力增长速度最慢。</w:t>
            </w:r>
          </w:p>
          <w:p>
            <w:pPr>
              <w:spacing w:line="288" w:lineRule="auto"/>
              <w:jc w:val="left"/>
              <w:rPr>
                <w:rFonts w:ascii="仿宋" w:hAnsi="仿宋" w:eastAsia="仿宋"/>
                <w:sz w:val="24"/>
                <w:szCs w:val="24"/>
              </w:rPr>
            </w:pPr>
            <w:r>
              <w:rPr>
                <w:rFonts w:hint="eastAsia" w:ascii="仿宋" w:hAnsi="仿宋" w:eastAsia="仿宋"/>
                <w:sz w:val="24"/>
                <w:szCs w:val="24"/>
              </w:rPr>
              <w:t>表3 轴承元件应力-单元分布</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1985"/>
              <w:gridCol w:w="2597"/>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径向力N</w:t>
                  </w:r>
                </w:p>
              </w:tc>
              <w:tc>
                <w:tcPr>
                  <w:tcW w:w="1985"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内圈VonMises</w:t>
                  </w:r>
                  <w:r>
                    <w:rPr>
                      <w:rFonts w:ascii="仿宋" w:hAnsi="仿宋" w:eastAsia="仿宋"/>
                      <w:sz w:val="24"/>
                      <w:szCs w:val="24"/>
                    </w:rPr>
                    <w:t xml:space="preserve"> MPa</w:t>
                  </w:r>
                </w:p>
              </w:tc>
              <w:tc>
                <w:tcPr>
                  <w:tcW w:w="2597"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1号滚动体VonMises MPa</w:t>
                  </w:r>
                </w:p>
              </w:tc>
              <w:tc>
                <w:tcPr>
                  <w:tcW w:w="2131"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外圈</w:t>
                  </w:r>
                  <w:r>
                    <w:rPr>
                      <w:rFonts w:ascii="仿宋" w:hAnsi="仿宋" w:eastAsia="仿宋"/>
                      <w:sz w:val="24"/>
                      <w:szCs w:val="24"/>
                    </w:rPr>
                    <w:t>VonMises 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5000</w:t>
                  </w:r>
                </w:p>
              </w:tc>
              <w:tc>
                <w:tcPr>
                  <w:tcW w:w="1985"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15.31</w:t>
                  </w:r>
                </w:p>
              </w:tc>
              <w:tc>
                <w:tcPr>
                  <w:tcW w:w="2597" w:type="dxa"/>
                  <w:vAlign w:val="center"/>
                </w:tcPr>
                <w:p>
                  <w:pPr>
                    <w:spacing w:line="288" w:lineRule="auto"/>
                    <w:jc w:val="left"/>
                    <w:rPr>
                      <w:rFonts w:ascii="仿宋" w:hAnsi="仿宋" w:eastAsia="仿宋"/>
                      <w:sz w:val="24"/>
                      <w:szCs w:val="24"/>
                    </w:rPr>
                  </w:pPr>
                  <w:r>
                    <w:rPr>
                      <w:rFonts w:ascii="仿宋" w:hAnsi="仿宋" w:eastAsia="仿宋"/>
                      <w:sz w:val="24"/>
                      <w:szCs w:val="24"/>
                    </w:rPr>
                    <w:t>9.57</w:t>
                  </w:r>
                </w:p>
              </w:tc>
              <w:tc>
                <w:tcPr>
                  <w:tcW w:w="2131"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10000</w:t>
                  </w:r>
                </w:p>
              </w:tc>
              <w:tc>
                <w:tcPr>
                  <w:tcW w:w="1985"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30.62</w:t>
                  </w:r>
                </w:p>
              </w:tc>
              <w:tc>
                <w:tcPr>
                  <w:tcW w:w="2597"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19.11</w:t>
                  </w:r>
                </w:p>
              </w:tc>
              <w:tc>
                <w:tcPr>
                  <w:tcW w:w="2131"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2.43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15000</w:t>
                  </w:r>
                </w:p>
              </w:tc>
              <w:tc>
                <w:tcPr>
                  <w:tcW w:w="1985"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45.94</w:t>
                  </w:r>
                </w:p>
              </w:tc>
              <w:tc>
                <w:tcPr>
                  <w:tcW w:w="2597"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28.71</w:t>
                  </w:r>
                </w:p>
              </w:tc>
              <w:tc>
                <w:tcPr>
                  <w:tcW w:w="2131"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3.65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20000</w:t>
                  </w:r>
                </w:p>
              </w:tc>
              <w:tc>
                <w:tcPr>
                  <w:tcW w:w="1985"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61.25</w:t>
                  </w:r>
                </w:p>
              </w:tc>
              <w:tc>
                <w:tcPr>
                  <w:tcW w:w="2597"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38.28</w:t>
                  </w:r>
                </w:p>
              </w:tc>
              <w:tc>
                <w:tcPr>
                  <w:tcW w:w="2131" w:type="dxa"/>
                  <w:vAlign w:val="center"/>
                </w:tcPr>
                <w:p>
                  <w:pPr>
                    <w:spacing w:line="288" w:lineRule="auto"/>
                    <w:jc w:val="left"/>
                    <w:rPr>
                      <w:rFonts w:ascii="仿宋" w:hAnsi="仿宋" w:eastAsia="仿宋"/>
                      <w:sz w:val="24"/>
                      <w:szCs w:val="24"/>
                    </w:rPr>
                  </w:pPr>
                  <w:r>
                    <w:rPr>
                      <w:rFonts w:hint="eastAsia" w:ascii="仿宋" w:hAnsi="仿宋" w:eastAsia="仿宋"/>
                      <w:sz w:val="24"/>
                      <w:szCs w:val="24"/>
                    </w:rPr>
                    <w:t>4.87</w:t>
                  </w:r>
                </w:p>
              </w:tc>
            </w:tr>
          </w:tbl>
          <w:p>
            <w:pPr>
              <w:spacing w:line="288" w:lineRule="auto"/>
              <w:jc w:val="left"/>
              <w:rPr>
                <w:rFonts w:ascii="仿宋" w:hAnsi="仿宋" w:eastAsia="仿宋"/>
                <w:sz w:val="24"/>
                <w:szCs w:val="24"/>
              </w:rPr>
            </w:pPr>
          </w:p>
          <w:p>
            <w:pPr>
              <w:spacing w:line="288" w:lineRule="auto"/>
              <w:jc w:val="left"/>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drawing>
                <wp:inline distT="0" distB="0" distL="0" distR="0">
                  <wp:extent cx="1847850" cy="177101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1852266" cy="1775303"/>
                          </a:xfrm>
                          <a:prstGeom prst="rect">
                            <a:avLst/>
                          </a:prstGeom>
                        </pic:spPr>
                      </pic:pic>
                    </a:graphicData>
                  </a:graphic>
                </wp:inline>
              </w:drawing>
            </w:r>
            <w:r>
              <w:rPr>
                <w:rFonts w:hint="eastAsia" w:ascii="仿宋" w:hAnsi="仿宋" w:eastAsia="仿宋"/>
                <w:sz w:val="24"/>
                <w:szCs w:val="24"/>
              </w:rPr>
              <w:t xml:space="preserve">     </w:t>
            </w:r>
            <w:r>
              <w:rPr>
                <w:rFonts w:ascii="仿宋" w:hAnsi="仿宋" w:eastAsia="仿宋"/>
                <w:sz w:val="24"/>
                <w:szCs w:val="24"/>
              </w:rPr>
              <w:drawing>
                <wp:inline distT="0" distB="0" distL="0" distR="0">
                  <wp:extent cx="2369820" cy="179006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2377423" cy="1795449"/>
                          </a:xfrm>
                          <a:prstGeom prst="rect">
                            <a:avLst/>
                          </a:prstGeom>
                        </pic:spPr>
                      </pic:pic>
                    </a:graphicData>
                  </a:graphic>
                </wp:inline>
              </w:drawing>
            </w:r>
          </w:p>
          <w:p>
            <w:pPr>
              <w:spacing w:line="288" w:lineRule="auto"/>
              <w:jc w:val="left"/>
              <w:rPr>
                <w:rFonts w:ascii="仿宋" w:hAnsi="仿宋" w:eastAsia="仿宋"/>
                <w:sz w:val="24"/>
                <w:szCs w:val="24"/>
              </w:rPr>
            </w:pPr>
            <w:r>
              <w:rPr>
                <w:rFonts w:hint="eastAsia" w:ascii="仿宋" w:hAnsi="仿宋" w:eastAsia="仿宋"/>
                <w:sz w:val="24"/>
                <w:szCs w:val="24"/>
              </w:rPr>
              <w:t xml:space="preserve">       图4轴承滚动体编号                图5 轴承元件应力幅值</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以1号至8号滚动体作为研究对象（轴承编号见图5），1号滚动体位于承载区的正下方，8号滚动体位于非承载区的正上方。2号至7号滚动体按顺时针由下向上排列。1号、2号、3号、4号位于承载区，6号、7号、8号位于非承载区，5号位于承载区和非承载区的分界点。从表4和图6中可以得出：（1）1号滚动体上的应力最大，其次是2号滚动体、3号滚动体，以此类推，8号滚动体上的应力最小。这说明滚动体应力的大小与滚动体所处的位置有关。（2）同一载荷作用下，1号至8号滚动体上的应力变化为脉动循环变应力。（3）不同载荷作用下，同一滚动体上的应力不同，径向载荷越小，滚动体上的应力越小；反之径向载荷越大，滚动体上的应力也越大。</w:t>
            </w:r>
          </w:p>
          <w:p>
            <w:pPr>
              <w:spacing w:line="288" w:lineRule="auto"/>
              <w:ind w:firstLine="2880" w:firstLineChars="1200"/>
              <w:jc w:val="left"/>
              <w:rPr>
                <w:rFonts w:ascii="仿宋" w:hAnsi="仿宋" w:eastAsia="仿宋"/>
                <w:sz w:val="24"/>
                <w:szCs w:val="24"/>
              </w:rPr>
            </w:pPr>
            <w:r>
              <w:rPr>
                <w:rFonts w:hint="eastAsia" w:ascii="仿宋" w:hAnsi="仿宋" w:eastAsia="仿宋"/>
                <w:sz w:val="24"/>
                <w:szCs w:val="24"/>
              </w:rPr>
              <w:t>表4 滚动体应力分布</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6"/>
              <w:gridCol w:w="947"/>
              <w:gridCol w:w="947"/>
              <w:gridCol w:w="947"/>
              <w:gridCol w:w="947"/>
              <w:gridCol w:w="947"/>
              <w:gridCol w:w="947"/>
              <w:gridCol w:w="947"/>
              <w:gridCol w:w="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288" w:lineRule="auto"/>
                    <w:jc w:val="left"/>
                    <w:rPr>
                      <w:rFonts w:ascii="仿宋" w:hAnsi="仿宋" w:eastAsia="仿宋"/>
                      <w:szCs w:val="21"/>
                    </w:rPr>
                  </w:pPr>
                  <w:r>
                    <w:rPr>
                      <w:rFonts w:hint="eastAsia" w:ascii="仿宋" w:hAnsi="仿宋" w:eastAsia="仿宋"/>
                      <w:szCs w:val="21"/>
                    </w:rPr>
                    <w:t>径向力N</w:t>
                  </w:r>
                </w:p>
              </w:tc>
              <w:tc>
                <w:tcPr>
                  <w:tcW w:w="947" w:type="dxa"/>
                </w:tcPr>
                <w:p>
                  <w:pPr>
                    <w:spacing w:line="288" w:lineRule="auto"/>
                    <w:jc w:val="left"/>
                    <w:rPr>
                      <w:rFonts w:ascii="仿宋" w:hAnsi="仿宋" w:eastAsia="仿宋"/>
                      <w:szCs w:val="21"/>
                    </w:rPr>
                  </w:pPr>
                  <w:r>
                    <w:rPr>
                      <w:rFonts w:hint="eastAsia" w:ascii="仿宋" w:hAnsi="仿宋" w:eastAsia="仿宋"/>
                      <w:szCs w:val="21"/>
                    </w:rPr>
                    <w:t>1MPa</w:t>
                  </w:r>
                </w:p>
              </w:tc>
              <w:tc>
                <w:tcPr>
                  <w:tcW w:w="947" w:type="dxa"/>
                </w:tcPr>
                <w:p>
                  <w:pPr>
                    <w:spacing w:line="288" w:lineRule="auto"/>
                    <w:jc w:val="left"/>
                    <w:rPr>
                      <w:rFonts w:ascii="仿宋" w:hAnsi="仿宋" w:eastAsia="仿宋"/>
                      <w:szCs w:val="21"/>
                    </w:rPr>
                  </w:pPr>
                  <w:r>
                    <w:rPr>
                      <w:rFonts w:hint="eastAsia" w:ascii="仿宋" w:hAnsi="仿宋" w:eastAsia="仿宋"/>
                      <w:szCs w:val="21"/>
                    </w:rPr>
                    <w:t>2</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3</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4</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5</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6</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7</w:t>
                  </w:r>
                  <w:r>
                    <w:rPr>
                      <w:rFonts w:ascii="仿宋" w:hAnsi="仿宋" w:eastAsia="仿宋"/>
                      <w:szCs w:val="21"/>
                    </w:rPr>
                    <w:t>MPa</w:t>
                  </w:r>
                </w:p>
              </w:tc>
              <w:tc>
                <w:tcPr>
                  <w:tcW w:w="947" w:type="dxa"/>
                </w:tcPr>
                <w:p>
                  <w:pPr>
                    <w:spacing w:line="288" w:lineRule="auto"/>
                    <w:jc w:val="left"/>
                    <w:rPr>
                      <w:rFonts w:ascii="仿宋" w:hAnsi="仿宋" w:eastAsia="仿宋"/>
                      <w:szCs w:val="21"/>
                    </w:rPr>
                  </w:pPr>
                  <w:r>
                    <w:rPr>
                      <w:rFonts w:hint="eastAsia" w:ascii="仿宋" w:hAnsi="仿宋" w:eastAsia="仿宋"/>
                      <w:szCs w:val="21"/>
                    </w:rPr>
                    <w:t>8</w:t>
                  </w:r>
                  <w:r>
                    <w:rPr>
                      <w:rFonts w:ascii="仿宋" w:hAnsi="仿宋" w:eastAsia="仿宋"/>
                      <w:szCs w:val="21"/>
                    </w:rPr>
                    <w:t>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288" w:lineRule="auto"/>
                    <w:jc w:val="left"/>
                    <w:rPr>
                      <w:rFonts w:ascii="仿宋" w:hAnsi="仿宋" w:eastAsia="仿宋"/>
                      <w:szCs w:val="21"/>
                    </w:rPr>
                  </w:pPr>
                  <w:r>
                    <w:rPr>
                      <w:rFonts w:hint="eastAsia" w:ascii="仿宋" w:hAnsi="仿宋" w:eastAsia="仿宋"/>
                      <w:szCs w:val="21"/>
                    </w:rPr>
                    <w:t>5000</w:t>
                  </w:r>
                </w:p>
              </w:tc>
              <w:tc>
                <w:tcPr>
                  <w:tcW w:w="947" w:type="dxa"/>
                </w:tcPr>
                <w:p>
                  <w:pPr>
                    <w:spacing w:line="288" w:lineRule="auto"/>
                    <w:jc w:val="left"/>
                    <w:rPr>
                      <w:rFonts w:ascii="仿宋" w:hAnsi="仿宋" w:eastAsia="仿宋"/>
                      <w:szCs w:val="21"/>
                    </w:rPr>
                  </w:pPr>
                  <w:r>
                    <w:rPr>
                      <w:rFonts w:hint="eastAsia" w:ascii="仿宋" w:hAnsi="仿宋" w:eastAsia="仿宋"/>
                      <w:szCs w:val="21"/>
                    </w:rPr>
                    <w:t>9.55</w:t>
                  </w:r>
                </w:p>
              </w:tc>
              <w:tc>
                <w:tcPr>
                  <w:tcW w:w="947" w:type="dxa"/>
                </w:tcPr>
                <w:p>
                  <w:pPr>
                    <w:spacing w:line="288" w:lineRule="auto"/>
                    <w:jc w:val="left"/>
                    <w:rPr>
                      <w:rFonts w:ascii="仿宋" w:hAnsi="仿宋" w:eastAsia="仿宋"/>
                      <w:szCs w:val="21"/>
                    </w:rPr>
                  </w:pPr>
                  <w:r>
                    <w:rPr>
                      <w:rFonts w:hint="eastAsia" w:ascii="仿宋" w:hAnsi="仿宋" w:eastAsia="仿宋"/>
                      <w:szCs w:val="21"/>
                    </w:rPr>
                    <w:t>9.27</w:t>
                  </w:r>
                </w:p>
              </w:tc>
              <w:tc>
                <w:tcPr>
                  <w:tcW w:w="947" w:type="dxa"/>
                </w:tcPr>
                <w:p>
                  <w:pPr>
                    <w:spacing w:line="288" w:lineRule="auto"/>
                    <w:jc w:val="left"/>
                    <w:rPr>
                      <w:rFonts w:ascii="仿宋" w:hAnsi="仿宋" w:eastAsia="仿宋"/>
                      <w:szCs w:val="21"/>
                    </w:rPr>
                  </w:pPr>
                  <w:r>
                    <w:rPr>
                      <w:rFonts w:hint="eastAsia" w:ascii="仿宋" w:hAnsi="仿宋" w:eastAsia="仿宋"/>
                      <w:szCs w:val="21"/>
                    </w:rPr>
                    <w:t>7.42</w:t>
                  </w:r>
                </w:p>
              </w:tc>
              <w:tc>
                <w:tcPr>
                  <w:tcW w:w="947" w:type="dxa"/>
                </w:tcPr>
                <w:p>
                  <w:pPr>
                    <w:spacing w:line="288" w:lineRule="auto"/>
                    <w:jc w:val="left"/>
                    <w:rPr>
                      <w:rFonts w:ascii="仿宋" w:hAnsi="仿宋" w:eastAsia="仿宋"/>
                      <w:szCs w:val="21"/>
                    </w:rPr>
                  </w:pPr>
                  <w:r>
                    <w:rPr>
                      <w:rFonts w:hint="eastAsia" w:ascii="仿宋" w:hAnsi="仿宋" w:eastAsia="仿宋"/>
                      <w:szCs w:val="21"/>
                    </w:rPr>
                    <w:t>3.63</w:t>
                  </w:r>
                </w:p>
              </w:tc>
              <w:tc>
                <w:tcPr>
                  <w:tcW w:w="947" w:type="dxa"/>
                </w:tcPr>
                <w:p>
                  <w:pPr>
                    <w:spacing w:line="288" w:lineRule="auto"/>
                    <w:jc w:val="left"/>
                    <w:rPr>
                      <w:rFonts w:ascii="仿宋" w:hAnsi="仿宋" w:eastAsia="仿宋"/>
                      <w:szCs w:val="21"/>
                    </w:rPr>
                  </w:pPr>
                  <w:r>
                    <w:rPr>
                      <w:rFonts w:hint="eastAsia" w:ascii="仿宋" w:hAnsi="仿宋" w:eastAsia="仿宋"/>
                      <w:szCs w:val="21"/>
                    </w:rPr>
                    <w:t>2.22</w:t>
                  </w:r>
                </w:p>
              </w:tc>
              <w:tc>
                <w:tcPr>
                  <w:tcW w:w="947" w:type="dxa"/>
                </w:tcPr>
                <w:p>
                  <w:pPr>
                    <w:spacing w:line="288" w:lineRule="auto"/>
                    <w:jc w:val="left"/>
                    <w:rPr>
                      <w:rFonts w:ascii="仿宋" w:hAnsi="仿宋" w:eastAsia="仿宋"/>
                      <w:szCs w:val="21"/>
                    </w:rPr>
                  </w:pPr>
                  <w:r>
                    <w:rPr>
                      <w:rFonts w:hint="eastAsia" w:ascii="仿宋" w:hAnsi="仿宋" w:eastAsia="仿宋"/>
                      <w:szCs w:val="21"/>
                    </w:rPr>
                    <w:t>1.44</w:t>
                  </w:r>
                </w:p>
              </w:tc>
              <w:tc>
                <w:tcPr>
                  <w:tcW w:w="947" w:type="dxa"/>
                </w:tcPr>
                <w:p>
                  <w:pPr>
                    <w:spacing w:line="288" w:lineRule="auto"/>
                    <w:jc w:val="left"/>
                    <w:rPr>
                      <w:rFonts w:ascii="仿宋" w:hAnsi="仿宋" w:eastAsia="仿宋"/>
                      <w:szCs w:val="21"/>
                    </w:rPr>
                  </w:pPr>
                  <w:r>
                    <w:rPr>
                      <w:rFonts w:hint="eastAsia" w:ascii="仿宋" w:hAnsi="仿宋" w:eastAsia="仿宋"/>
                      <w:szCs w:val="21"/>
                    </w:rPr>
                    <w:t>0.91</w:t>
                  </w:r>
                </w:p>
              </w:tc>
              <w:tc>
                <w:tcPr>
                  <w:tcW w:w="947" w:type="dxa"/>
                </w:tcPr>
                <w:p>
                  <w:pPr>
                    <w:spacing w:line="288" w:lineRule="auto"/>
                    <w:jc w:val="left"/>
                    <w:rPr>
                      <w:rFonts w:ascii="仿宋" w:hAnsi="仿宋" w:eastAsia="仿宋"/>
                      <w:szCs w:val="21"/>
                    </w:rPr>
                  </w:pPr>
                  <w:r>
                    <w:rPr>
                      <w:rFonts w:hint="eastAsia" w:ascii="仿宋" w:hAnsi="仿宋" w:eastAsia="仿宋"/>
                      <w:szCs w:val="21"/>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288" w:lineRule="auto"/>
                    <w:jc w:val="left"/>
                    <w:rPr>
                      <w:rFonts w:ascii="仿宋" w:hAnsi="仿宋" w:eastAsia="仿宋"/>
                      <w:szCs w:val="21"/>
                    </w:rPr>
                  </w:pPr>
                  <w:r>
                    <w:rPr>
                      <w:rFonts w:hint="eastAsia" w:ascii="仿宋" w:hAnsi="仿宋" w:eastAsia="仿宋"/>
                      <w:szCs w:val="21"/>
                    </w:rPr>
                    <w:t>10000</w:t>
                  </w:r>
                </w:p>
              </w:tc>
              <w:tc>
                <w:tcPr>
                  <w:tcW w:w="947" w:type="dxa"/>
                </w:tcPr>
                <w:p>
                  <w:pPr>
                    <w:spacing w:line="288" w:lineRule="auto"/>
                    <w:jc w:val="left"/>
                    <w:rPr>
                      <w:rFonts w:ascii="仿宋" w:hAnsi="仿宋" w:eastAsia="仿宋"/>
                      <w:szCs w:val="21"/>
                    </w:rPr>
                  </w:pPr>
                  <w:r>
                    <w:rPr>
                      <w:rFonts w:hint="eastAsia" w:ascii="仿宋" w:hAnsi="仿宋" w:eastAsia="仿宋"/>
                      <w:szCs w:val="21"/>
                    </w:rPr>
                    <w:t>19.11</w:t>
                  </w:r>
                </w:p>
              </w:tc>
              <w:tc>
                <w:tcPr>
                  <w:tcW w:w="947" w:type="dxa"/>
                </w:tcPr>
                <w:p>
                  <w:pPr>
                    <w:spacing w:line="288" w:lineRule="auto"/>
                    <w:jc w:val="left"/>
                    <w:rPr>
                      <w:rFonts w:ascii="仿宋" w:hAnsi="仿宋" w:eastAsia="仿宋"/>
                      <w:szCs w:val="21"/>
                    </w:rPr>
                  </w:pPr>
                  <w:r>
                    <w:rPr>
                      <w:rFonts w:hint="eastAsia" w:ascii="仿宋" w:hAnsi="仿宋" w:eastAsia="仿宋"/>
                      <w:szCs w:val="21"/>
                    </w:rPr>
                    <w:t>18.55</w:t>
                  </w:r>
                </w:p>
              </w:tc>
              <w:tc>
                <w:tcPr>
                  <w:tcW w:w="947" w:type="dxa"/>
                </w:tcPr>
                <w:p>
                  <w:pPr>
                    <w:spacing w:line="288" w:lineRule="auto"/>
                    <w:jc w:val="left"/>
                    <w:rPr>
                      <w:rFonts w:ascii="仿宋" w:hAnsi="仿宋" w:eastAsia="仿宋"/>
                      <w:szCs w:val="21"/>
                    </w:rPr>
                  </w:pPr>
                  <w:r>
                    <w:rPr>
                      <w:rFonts w:hint="eastAsia" w:ascii="仿宋" w:hAnsi="仿宋" w:eastAsia="仿宋"/>
                      <w:szCs w:val="21"/>
                    </w:rPr>
                    <w:t>14.84</w:t>
                  </w:r>
                </w:p>
              </w:tc>
              <w:tc>
                <w:tcPr>
                  <w:tcW w:w="947" w:type="dxa"/>
                </w:tcPr>
                <w:p>
                  <w:pPr>
                    <w:spacing w:line="288" w:lineRule="auto"/>
                    <w:jc w:val="left"/>
                    <w:rPr>
                      <w:rFonts w:ascii="仿宋" w:hAnsi="仿宋" w:eastAsia="仿宋"/>
                      <w:szCs w:val="21"/>
                    </w:rPr>
                  </w:pPr>
                  <w:r>
                    <w:rPr>
                      <w:rFonts w:hint="eastAsia" w:ascii="仿宋" w:hAnsi="仿宋" w:eastAsia="仿宋"/>
                      <w:szCs w:val="21"/>
                    </w:rPr>
                    <w:t>7.27</w:t>
                  </w:r>
                </w:p>
              </w:tc>
              <w:tc>
                <w:tcPr>
                  <w:tcW w:w="947" w:type="dxa"/>
                </w:tcPr>
                <w:p>
                  <w:pPr>
                    <w:spacing w:line="288" w:lineRule="auto"/>
                    <w:jc w:val="left"/>
                    <w:rPr>
                      <w:rFonts w:ascii="仿宋" w:hAnsi="仿宋" w:eastAsia="仿宋"/>
                      <w:szCs w:val="21"/>
                    </w:rPr>
                  </w:pPr>
                  <w:r>
                    <w:rPr>
                      <w:rFonts w:hint="eastAsia" w:ascii="仿宋" w:hAnsi="仿宋" w:eastAsia="仿宋"/>
                      <w:szCs w:val="21"/>
                    </w:rPr>
                    <w:t>4.45</w:t>
                  </w:r>
                </w:p>
              </w:tc>
              <w:tc>
                <w:tcPr>
                  <w:tcW w:w="947" w:type="dxa"/>
                </w:tcPr>
                <w:p>
                  <w:pPr>
                    <w:spacing w:line="288" w:lineRule="auto"/>
                    <w:jc w:val="left"/>
                    <w:rPr>
                      <w:rFonts w:ascii="仿宋" w:hAnsi="仿宋" w:eastAsia="仿宋"/>
                      <w:szCs w:val="21"/>
                    </w:rPr>
                  </w:pPr>
                  <w:r>
                    <w:rPr>
                      <w:rFonts w:hint="eastAsia" w:ascii="仿宋" w:hAnsi="仿宋" w:eastAsia="仿宋"/>
                      <w:szCs w:val="21"/>
                    </w:rPr>
                    <w:t>2.88</w:t>
                  </w:r>
                </w:p>
              </w:tc>
              <w:tc>
                <w:tcPr>
                  <w:tcW w:w="947" w:type="dxa"/>
                </w:tcPr>
                <w:p>
                  <w:pPr>
                    <w:spacing w:line="288" w:lineRule="auto"/>
                    <w:jc w:val="left"/>
                    <w:rPr>
                      <w:rFonts w:ascii="仿宋" w:hAnsi="仿宋" w:eastAsia="仿宋"/>
                      <w:szCs w:val="21"/>
                    </w:rPr>
                  </w:pPr>
                  <w:r>
                    <w:rPr>
                      <w:rFonts w:hint="eastAsia" w:ascii="仿宋" w:hAnsi="仿宋" w:eastAsia="仿宋"/>
                      <w:szCs w:val="21"/>
                    </w:rPr>
                    <w:t>1.82</w:t>
                  </w:r>
                </w:p>
              </w:tc>
              <w:tc>
                <w:tcPr>
                  <w:tcW w:w="947" w:type="dxa"/>
                </w:tcPr>
                <w:p>
                  <w:pPr>
                    <w:spacing w:line="288" w:lineRule="auto"/>
                    <w:jc w:val="left"/>
                    <w:rPr>
                      <w:rFonts w:ascii="仿宋" w:hAnsi="仿宋" w:eastAsia="仿宋"/>
                      <w:szCs w:val="21"/>
                    </w:rPr>
                  </w:pPr>
                  <w:r>
                    <w:rPr>
                      <w:rFonts w:hint="eastAsia" w:ascii="仿宋" w:hAnsi="仿宋" w:eastAsia="仿宋"/>
                      <w:szCs w:val="21"/>
                    </w:rPr>
                    <w:t>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288" w:lineRule="auto"/>
                    <w:jc w:val="left"/>
                    <w:rPr>
                      <w:rFonts w:ascii="仿宋" w:hAnsi="仿宋" w:eastAsia="仿宋"/>
                      <w:szCs w:val="21"/>
                    </w:rPr>
                  </w:pPr>
                  <w:r>
                    <w:rPr>
                      <w:rFonts w:hint="eastAsia" w:ascii="仿宋" w:hAnsi="仿宋" w:eastAsia="仿宋"/>
                      <w:szCs w:val="21"/>
                    </w:rPr>
                    <w:t>15000</w:t>
                  </w:r>
                </w:p>
              </w:tc>
              <w:tc>
                <w:tcPr>
                  <w:tcW w:w="947" w:type="dxa"/>
                </w:tcPr>
                <w:p>
                  <w:pPr>
                    <w:spacing w:line="288" w:lineRule="auto"/>
                    <w:jc w:val="left"/>
                    <w:rPr>
                      <w:rFonts w:ascii="仿宋" w:hAnsi="仿宋" w:eastAsia="仿宋"/>
                      <w:szCs w:val="21"/>
                    </w:rPr>
                  </w:pPr>
                  <w:r>
                    <w:rPr>
                      <w:rFonts w:hint="eastAsia" w:ascii="仿宋" w:hAnsi="仿宋" w:eastAsia="仿宋"/>
                      <w:szCs w:val="21"/>
                    </w:rPr>
                    <w:t>28.71</w:t>
                  </w:r>
                </w:p>
              </w:tc>
              <w:tc>
                <w:tcPr>
                  <w:tcW w:w="947" w:type="dxa"/>
                </w:tcPr>
                <w:p>
                  <w:pPr>
                    <w:spacing w:line="288" w:lineRule="auto"/>
                    <w:jc w:val="left"/>
                    <w:rPr>
                      <w:rFonts w:ascii="仿宋" w:hAnsi="仿宋" w:eastAsia="仿宋"/>
                      <w:szCs w:val="21"/>
                    </w:rPr>
                  </w:pPr>
                  <w:r>
                    <w:rPr>
                      <w:rFonts w:hint="eastAsia" w:ascii="仿宋" w:hAnsi="仿宋" w:eastAsia="仿宋"/>
                      <w:szCs w:val="21"/>
                    </w:rPr>
                    <w:t>28.66</w:t>
                  </w:r>
                </w:p>
              </w:tc>
              <w:tc>
                <w:tcPr>
                  <w:tcW w:w="947" w:type="dxa"/>
                </w:tcPr>
                <w:p>
                  <w:pPr>
                    <w:spacing w:line="288" w:lineRule="auto"/>
                    <w:jc w:val="left"/>
                    <w:rPr>
                      <w:rFonts w:ascii="仿宋" w:hAnsi="仿宋" w:eastAsia="仿宋"/>
                      <w:szCs w:val="21"/>
                    </w:rPr>
                  </w:pPr>
                  <w:r>
                    <w:rPr>
                      <w:rFonts w:hint="eastAsia" w:ascii="仿宋" w:hAnsi="仿宋" w:eastAsia="仿宋"/>
                      <w:szCs w:val="21"/>
                    </w:rPr>
                    <w:t>22.26</w:t>
                  </w:r>
                </w:p>
              </w:tc>
              <w:tc>
                <w:tcPr>
                  <w:tcW w:w="947" w:type="dxa"/>
                </w:tcPr>
                <w:p>
                  <w:pPr>
                    <w:spacing w:line="288" w:lineRule="auto"/>
                    <w:jc w:val="left"/>
                    <w:rPr>
                      <w:rFonts w:ascii="仿宋" w:hAnsi="仿宋" w:eastAsia="仿宋"/>
                      <w:szCs w:val="21"/>
                    </w:rPr>
                  </w:pPr>
                  <w:r>
                    <w:rPr>
                      <w:rFonts w:hint="eastAsia" w:ascii="仿宋" w:hAnsi="仿宋" w:eastAsia="仿宋"/>
                      <w:szCs w:val="21"/>
                    </w:rPr>
                    <w:t>10.9</w:t>
                  </w:r>
                </w:p>
              </w:tc>
              <w:tc>
                <w:tcPr>
                  <w:tcW w:w="947" w:type="dxa"/>
                </w:tcPr>
                <w:p>
                  <w:pPr>
                    <w:spacing w:line="288" w:lineRule="auto"/>
                    <w:jc w:val="left"/>
                    <w:rPr>
                      <w:rFonts w:ascii="仿宋" w:hAnsi="仿宋" w:eastAsia="仿宋"/>
                      <w:szCs w:val="21"/>
                    </w:rPr>
                  </w:pPr>
                  <w:r>
                    <w:rPr>
                      <w:rFonts w:hint="eastAsia" w:ascii="仿宋" w:hAnsi="仿宋" w:eastAsia="仿宋"/>
                      <w:szCs w:val="21"/>
                    </w:rPr>
                    <w:t>6.67</w:t>
                  </w:r>
                </w:p>
              </w:tc>
              <w:tc>
                <w:tcPr>
                  <w:tcW w:w="947" w:type="dxa"/>
                </w:tcPr>
                <w:p>
                  <w:pPr>
                    <w:spacing w:line="288" w:lineRule="auto"/>
                    <w:jc w:val="left"/>
                    <w:rPr>
                      <w:rFonts w:ascii="仿宋" w:hAnsi="仿宋" w:eastAsia="仿宋"/>
                      <w:szCs w:val="21"/>
                    </w:rPr>
                  </w:pPr>
                  <w:r>
                    <w:rPr>
                      <w:rFonts w:hint="eastAsia" w:ascii="仿宋" w:hAnsi="仿宋" w:eastAsia="仿宋"/>
                      <w:szCs w:val="21"/>
                    </w:rPr>
                    <w:t>4.32</w:t>
                  </w:r>
                </w:p>
              </w:tc>
              <w:tc>
                <w:tcPr>
                  <w:tcW w:w="947" w:type="dxa"/>
                </w:tcPr>
                <w:p>
                  <w:pPr>
                    <w:spacing w:line="288" w:lineRule="auto"/>
                    <w:jc w:val="left"/>
                    <w:rPr>
                      <w:rFonts w:ascii="仿宋" w:hAnsi="仿宋" w:eastAsia="仿宋"/>
                      <w:szCs w:val="21"/>
                    </w:rPr>
                  </w:pPr>
                  <w:r>
                    <w:rPr>
                      <w:rFonts w:hint="eastAsia" w:ascii="仿宋" w:hAnsi="仿宋" w:eastAsia="仿宋"/>
                      <w:szCs w:val="21"/>
                    </w:rPr>
                    <w:t>2.73</w:t>
                  </w:r>
                </w:p>
              </w:tc>
              <w:tc>
                <w:tcPr>
                  <w:tcW w:w="947" w:type="dxa"/>
                </w:tcPr>
                <w:p>
                  <w:pPr>
                    <w:spacing w:line="288" w:lineRule="auto"/>
                    <w:jc w:val="left"/>
                    <w:rPr>
                      <w:rFonts w:ascii="仿宋" w:hAnsi="仿宋" w:eastAsia="仿宋"/>
                      <w:szCs w:val="21"/>
                    </w:rPr>
                  </w:pPr>
                  <w:r>
                    <w:rPr>
                      <w:rFonts w:hint="eastAsia" w:ascii="仿宋" w:hAnsi="仿宋" w:eastAsia="仿宋"/>
                      <w:szCs w:val="21"/>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 w:type="dxa"/>
                </w:tcPr>
                <w:p>
                  <w:pPr>
                    <w:spacing w:line="288" w:lineRule="auto"/>
                    <w:jc w:val="left"/>
                    <w:rPr>
                      <w:rFonts w:ascii="仿宋" w:hAnsi="仿宋" w:eastAsia="仿宋"/>
                      <w:szCs w:val="21"/>
                    </w:rPr>
                  </w:pPr>
                  <w:r>
                    <w:rPr>
                      <w:rFonts w:hint="eastAsia" w:ascii="仿宋" w:hAnsi="仿宋" w:eastAsia="仿宋"/>
                      <w:szCs w:val="21"/>
                    </w:rPr>
                    <w:t>20000</w:t>
                  </w:r>
                </w:p>
              </w:tc>
              <w:tc>
                <w:tcPr>
                  <w:tcW w:w="947" w:type="dxa"/>
                </w:tcPr>
                <w:p>
                  <w:pPr>
                    <w:spacing w:line="288" w:lineRule="auto"/>
                    <w:jc w:val="left"/>
                    <w:rPr>
                      <w:rFonts w:ascii="仿宋" w:hAnsi="仿宋" w:eastAsia="仿宋"/>
                      <w:szCs w:val="21"/>
                    </w:rPr>
                  </w:pPr>
                  <w:r>
                    <w:rPr>
                      <w:rFonts w:hint="eastAsia" w:ascii="仿宋" w:hAnsi="仿宋" w:eastAsia="仿宋"/>
                      <w:szCs w:val="21"/>
                    </w:rPr>
                    <w:t>38.28</w:t>
                  </w:r>
                </w:p>
              </w:tc>
              <w:tc>
                <w:tcPr>
                  <w:tcW w:w="947" w:type="dxa"/>
                </w:tcPr>
                <w:p>
                  <w:pPr>
                    <w:spacing w:line="288" w:lineRule="auto"/>
                    <w:jc w:val="left"/>
                    <w:rPr>
                      <w:rFonts w:ascii="仿宋" w:hAnsi="仿宋" w:eastAsia="仿宋"/>
                      <w:szCs w:val="21"/>
                    </w:rPr>
                  </w:pPr>
                  <w:r>
                    <w:rPr>
                      <w:rFonts w:hint="eastAsia" w:ascii="仿宋" w:hAnsi="仿宋" w:eastAsia="仿宋"/>
                      <w:szCs w:val="21"/>
                    </w:rPr>
                    <w:t>38.21</w:t>
                  </w:r>
                </w:p>
              </w:tc>
              <w:tc>
                <w:tcPr>
                  <w:tcW w:w="947" w:type="dxa"/>
                </w:tcPr>
                <w:p>
                  <w:pPr>
                    <w:spacing w:line="288" w:lineRule="auto"/>
                    <w:jc w:val="left"/>
                    <w:rPr>
                      <w:rFonts w:ascii="仿宋" w:hAnsi="仿宋" w:eastAsia="仿宋"/>
                      <w:szCs w:val="21"/>
                    </w:rPr>
                  </w:pPr>
                  <w:r>
                    <w:rPr>
                      <w:rFonts w:hint="eastAsia" w:ascii="仿宋" w:hAnsi="仿宋" w:eastAsia="仿宋"/>
                      <w:szCs w:val="21"/>
                    </w:rPr>
                    <w:t>29.68</w:t>
                  </w:r>
                </w:p>
              </w:tc>
              <w:tc>
                <w:tcPr>
                  <w:tcW w:w="947" w:type="dxa"/>
                </w:tcPr>
                <w:p>
                  <w:pPr>
                    <w:spacing w:line="288" w:lineRule="auto"/>
                    <w:jc w:val="left"/>
                    <w:rPr>
                      <w:rFonts w:ascii="仿宋" w:hAnsi="仿宋" w:eastAsia="仿宋"/>
                      <w:szCs w:val="21"/>
                    </w:rPr>
                  </w:pPr>
                  <w:r>
                    <w:rPr>
                      <w:rFonts w:hint="eastAsia" w:ascii="仿宋" w:hAnsi="仿宋" w:eastAsia="仿宋"/>
                      <w:szCs w:val="21"/>
                    </w:rPr>
                    <w:t>14.5</w:t>
                  </w:r>
                </w:p>
              </w:tc>
              <w:tc>
                <w:tcPr>
                  <w:tcW w:w="947" w:type="dxa"/>
                </w:tcPr>
                <w:p>
                  <w:pPr>
                    <w:spacing w:line="288" w:lineRule="auto"/>
                    <w:jc w:val="left"/>
                    <w:rPr>
                      <w:rFonts w:ascii="仿宋" w:hAnsi="仿宋" w:eastAsia="仿宋"/>
                      <w:szCs w:val="21"/>
                    </w:rPr>
                  </w:pPr>
                  <w:r>
                    <w:rPr>
                      <w:rFonts w:hint="eastAsia" w:ascii="仿宋" w:hAnsi="仿宋" w:eastAsia="仿宋"/>
                      <w:szCs w:val="21"/>
                    </w:rPr>
                    <w:t>8.89</w:t>
                  </w:r>
                </w:p>
              </w:tc>
              <w:tc>
                <w:tcPr>
                  <w:tcW w:w="947" w:type="dxa"/>
                </w:tcPr>
                <w:p>
                  <w:pPr>
                    <w:spacing w:line="288" w:lineRule="auto"/>
                    <w:jc w:val="left"/>
                    <w:rPr>
                      <w:rFonts w:ascii="仿宋" w:hAnsi="仿宋" w:eastAsia="仿宋"/>
                      <w:szCs w:val="21"/>
                    </w:rPr>
                  </w:pPr>
                  <w:r>
                    <w:rPr>
                      <w:rFonts w:hint="eastAsia" w:ascii="仿宋" w:hAnsi="仿宋" w:eastAsia="仿宋"/>
                      <w:szCs w:val="21"/>
                    </w:rPr>
                    <w:t>5.76</w:t>
                  </w:r>
                </w:p>
              </w:tc>
              <w:tc>
                <w:tcPr>
                  <w:tcW w:w="947" w:type="dxa"/>
                </w:tcPr>
                <w:p>
                  <w:pPr>
                    <w:spacing w:line="288" w:lineRule="auto"/>
                    <w:jc w:val="left"/>
                    <w:rPr>
                      <w:rFonts w:ascii="仿宋" w:hAnsi="仿宋" w:eastAsia="仿宋"/>
                      <w:szCs w:val="21"/>
                    </w:rPr>
                  </w:pPr>
                  <w:r>
                    <w:rPr>
                      <w:rFonts w:hint="eastAsia" w:ascii="仿宋" w:hAnsi="仿宋" w:eastAsia="仿宋"/>
                      <w:szCs w:val="21"/>
                    </w:rPr>
                    <w:t>3.64</w:t>
                  </w:r>
                </w:p>
              </w:tc>
              <w:tc>
                <w:tcPr>
                  <w:tcW w:w="947" w:type="dxa"/>
                </w:tcPr>
                <w:p>
                  <w:pPr>
                    <w:spacing w:line="288" w:lineRule="auto"/>
                    <w:jc w:val="left"/>
                    <w:rPr>
                      <w:rFonts w:ascii="仿宋" w:hAnsi="仿宋" w:eastAsia="仿宋"/>
                      <w:szCs w:val="21"/>
                    </w:rPr>
                  </w:pPr>
                  <w:r>
                    <w:rPr>
                      <w:rFonts w:hint="eastAsia" w:ascii="仿宋" w:hAnsi="仿宋" w:eastAsia="仿宋"/>
                      <w:szCs w:val="21"/>
                    </w:rPr>
                    <w:t>2.60</w:t>
                  </w:r>
                </w:p>
              </w:tc>
            </w:tr>
          </w:tbl>
          <w:p>
            <w:pPr>
              <w:spacing w:line="288" w:lineRule="auto"/>
              <w:jc w:val="left"/>
              <w:rPr>
                <w:rFonts w:ascii="仿宋" w:hAnsi="仿宋" w:eastAsia="仿宋"/>
                <w:sz w:val="24"/>
                <w:szCs w:val="24"/>
              </w:rPr>
            </w:pPr>
          </w:p>
          <w:p>
            <w:pPr>
              <w:spacing w:line="288" w:lineRule="auto"/>
              <w:jc w:val="left"/>
              <w:rPr>
                <w:rFonts w:ascii="仿宋" w:hAnsi="仿宋" w:eastAsia="仿宋"/>
                <w:sz w:val="24"/>
                <w:szCs w:val="24"/>
              </w:rPr>
            </w:pPr>
            <w:r>
              <w:rPr>
                <w:rFonts w:ascii="仿宋" w:hAnsi="仿宋" w:eastAsia="仿宋"/>
                <w:sz w:val="24"/>
                <w:szCs w:val="24"/>
              </w:rPr>
              <w:drawing>
                <wp:inline distT="0" distB="0" distL="0" distR="0">
                  <wp:extent cx="2762250" cy="2164715"/>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2768509" cy="2169627"/>
                          </a:xfrm>
                          <a:prstGeom prst="rect">
                            <a:avLst/>
                          </a:prstGeom>
                        </pic:spPr>
                      </pic:pic>
                    </a:graphicData>
                  </a:graphic>
                </wp:inline>
              </w:drawing>
            </w:r>
          </w:p>
          <w:p>
            <w:pPr>
              <w:spacing w:line="288" w:lineRule="auto"/>
              <w:jc w:val="left"/>
              <w:rPr>
                <w:rFonts w:ascii="黑体" w:hAnsi="黑体" w:eastAsia="黑体"/>
                <w:sz w:val="24"/>
                <w:szCs w:val="24"/>
              </w:rPr>
            </w:pPr>
            <w:r>
              <w:rPr>
                <w:rFonts w:hint="eastAsia" w:ascii="仿宋" w:hAnsi="仿宋" w:eastAsia="仿宋"/>
                <w:sz w:val="24"/>
                <w:szCs w:val="24"/>
              </w:rPr>
              <w:t>图6不同滚动体最大应力分布</w:t>
            </w:r>
          </w:p>
          <w:p>
            <w:pPr>
              <w:spacing w:line="288" w:lineRule="auto"/>
              <w:jc w:val="left"/>
              <w:rPr>
                <w:rFonts w:ascii="仿宋" w:hAnsi="仿宋" w:eastAsia="仿宋"/>
                <w:sz w:val="24"/>
                <w:szCs w:val="24"/>
              </w:rPr>
            </w:pPr>
            <w:r>
              <w:rPr>
                <w:rFonts w:hint="eastAsia" w:ascii="仿宋" w:hAnsi="仿宋" w:eastAsia="仿宋"/>
                <w:sz w:val="24"/>
                <w:szCs w:val="24"/>
              </w:rPr>
              <w:t>（2）</w:t>
            </w:r>
            <w:r>
              <w:rPr>
                <w:rFonts w:hint="eastAsia" w:ascii="仿宋" w:hAnsi="仿宋" w:eastAsia="仿宋" w:cs="Times New Roman"/>
                <w:sz w:val="24"/>
                <w:szCs w:val="24"/>
              </w:rPr>
              <w:t>应变仿真结果</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轴承承载区在径向力的作用下，轴承元件上会出现不同的程度的弹性变形。从表5和图7中数据可以得出：（1）载荷相同的情况下，轴承内圈的弹性变形量最大，滚动体弹性变形量居中，外圈弹性变形量最小。（2）同一元件在不同载荷作用下，应变量不同。比如轴承内圈分别在5000N、10000N、15000N和20000N的载荷作用下，应变量分别为7.158</w:t>
            </w:r>
            <w:r>
              <w:rPr>
                <w:rFonts w:ascii="仿宋" w:hAnsi="仿宋" w:eastAsia="仿宋"/>
                <w:sz w:val="24"/>
                <w:szCs w:val="24"/>
              </w:rPr>
              <w:t>E-004mm</w:t>
            </w:r>
            <w:r>
              <w:rPr>
                <w:rFonts w:hint="eastAsia" w:ascii="仿宋" w:hAnsi="仿宋" w:eastAsia="仿宋"/>
                <w:sz w:val="24"/>
                <w:szCs w:val="24"/>
              </w:rPr>
              <w:t>、</w:t>
            </w:r>
            <w:r>
              <w:rPr>
                <w:rFonts w:ascii="仿宋" w:hAnsi="仿宋" w:eastAsia="仿宋"/>
                <w:sz w:val="24"/>
                <w:szCs w:val="24"/>
              </w:rPr>
              <w:t>14.32 E-004mm</w:t>
            </w:r>
            <w:r>
              <w:rPr>
                <w:rFonts w:hint="eastAsia" w:ascii="仿宋" w:hAnsi="仿宋" w:eastAsia="仿宋"/>
                <w:sz w:val="24"/>
                <w:szCs w:val="24"/>
              </w:rPr>
              <w:t>、21.47</w:t>
            </w:r>
            <w:r>
              <w:rPr>
                <w:rFonts w:ascii="仿宋" w:hAnsi="仿宋" w:eastAsia="仿宋"/>
                <w:sz w:val="24"/>
                <w:szCs w:val="24"/>
              </w:rPr>
              <w:t>E-004mm</w:t>
            </w:r>
            <w:r>
              <w:rPr>
                <w:rFonts w:hint="eastAsia" w:ascii="仿宋" w:hAnsi="仿宋" w:eastAsia="仿宋"/>
                <w:sz w:val="24"/>
                <w:szCs w:val="24"/>
              </w:rPr>
              <w:t>、28.63</w:t>
            </w:r>
            <w:r>
              <w:rPr>
                <w:rFonts w:ascii="仿宋" w:hAnsi="仿宋" w:eastAsia="仿宋"/>
                <w:sz w:val="24"/>
                <w:szCs w:val="24"/>
              </w:rPr>
              <w:t>E-004mm</w:t>
            </w:r>
            <w:r>
              <w:rPr>
                <w:rFonts w:hint="eastAsia" w:ascii="仿宋" w:hAnsi="仿宋" w:eastAsia="仿宋"/>
                <w:sz w:val="24"/>
                <w:szCs w:val="24"/>
              </w:rPr>
              <w:t>。轴承内圈、滚动体、轴承外圈应变幅值与承受载荷大小成正比例关系。（3）轴承内圈与滚动体的应变幅值之差，在不同载荷下不同。载荷分别为5000N、10000N、15000N和20000N时，两者应变幅值之差分别为1.0171</w:t>
            </w:r>
            <w:r>
              <w:rPr>
                <w:rFonts w:ascii="仿宋" w:hAnsi="仿宋" w:eastAsia="仿宋"/>
                <w:sz w:val="24"/>
                <w:szCs w:val="24"/>
              </w:rPr>
              <w:t>E-004mm</w:t>
            </w:r>
            <w:r>
              <w:rPr>
                <w:rFonts w:hint="eastAsia" w:ascii="仿宋" w:hAnsi="仿宋" w:eastAsia="仿宋"/>
                <w:sz w:val="24"/>
                <w:szCs w:val="24"/>
              </w:rPr>
              <w:t>、2.15</w:t>
            </w:r>
            <w:r>
              <w:rPr>
                <w:rFonts w:ascii="仿宋" w:hAnsi="仿宋" w:eastAsia="仿宋"/>
                <w:sz w:val="24"/>
                <w:szCs w:val="24"/>
              </w:rPr>
              <w:t>E-004mm</w:t>
            </w:r>
            <w:r>
              <w:rPr>
                <w:rFonts w:hint="eastAsia" w:ascii="仿宋" w:hAnsi="仿宋" w:eastAsia="仿宋"/>
                <w:sz w:val="24"/>
                <w:szCs w:val="24"/>
              </w:rPr>
              <w:t>、3.21</w:t>
            </w:r>
            <w:r>
              <w:rPr>
                <w:rFonts w:ascii="仿宋" w:hAnsi="仿宋" w:eastAsia="仿宋"/>
                <w:sz w:val="24"/>
                <w:szCs w:val="24"/>
              </w:rPr>
              <w:t>E-004mm</w:t>
            </w:r>
            <w:r>
              <w:rPr>
                <w:rFonts w:hint="eastAsia" w:ascii="仿宋" w:hAnsi="仿宋" w:eastAsia="仿宋"/>
                <w:sz w:val="24"/>
                <w:szCs w:val="24"/>
              </w:rPr>
              <w:t>、4.28</w:t>
            </w:r>
            <w:r>
              <w:rPr>
                <w:rFonts w:ascii="仿宋" w:hAnsi="仿宋" w:eastAsia="仿宋"/>
                <w:sz w:val="24"/>
                <w:szCs w:val="24"/>
              </w:rPr>
              <w:t>E-004mm</w:t>
            </w:r>
            <w:r>
              <w:rPr>
                <w:rFonts w:hint="eastAsia" w:ascii="仿宋" w:hAnsi="仿宋" w:eastAsia="仿宋"/>
                <w:sz w:val="24"/>
                <w:szCs w:val="24"/>
              </w:rPr>
              <w:t>。可见随着载荷增大，两者之差也在增大，这说明轴承内圈应变幅值曲线与滚动体应变幅值曲线斜率不同。同理，滚动体与轴承外圈应变幅值与之差，在不同载荷下也不同。当载荷分别为5000N、10000N、15000N和20000N时，两者应变幅值之差分别为0.506E-004mm、1.01E-004mm、1.52</w:t>
            </w:r>
            <w:r>
              <w:rPr>
                <w:rFonts w:ascii="仿宋" w:hAnsi="仿宋" w:eastAsia="仿宋"/>
                <w:sz w:val="24"/>
                <w:szCs w:val="24"/>
              </w:rPr>
              <w:t>E-004mm</w:t>
            </w:r>
            <w:r>
              <w:rPr>
                <w:rFonts w:hint="eastAsia" w:ascii="仿宋" w:hAnsi="仿宋" w:eastAsia="仿宋"/>
                <w:sz w:val="24"/>
                <w:szCs w:val="24"/>
              </w:rPr>
              <w:t>、2.02</w:t>
            </w:r>
            <w:r>
              <w:rPr>
                <w:rFonts w:ascii="仿宋" w:hAnsi="仿宋" w:eastAsia="仿宋"/>
                <w:sz w:val="24"/>
                <w:szCs w:val="24"/>
              </w:rPr>
              <w:t>E-004mm</w:t>
            </w:r>
            <w:r>
              <w:rPr>
                <w:rFonts w:hint="eastAsia" w:ascii="仿宋" w:hAnsi="仿宋" w:eastAsia="仿宋"/>
                <w:sz w:val="24"/>
                <w:szCs w:val="24"/>
              </w:rPr>
              <w:t>。随着载荷增大，两者之差也在增大，这说明滚动体应变幅值曲线与轴承外圈应变幅值曲线斜率不同。因此三者应变幅值随着载荷变化的快慢程度不同，三条曲线呈发射形状。</w:t>
            </w:r>
          </w:p>
          <w:p>
            <w:pPr>
              <w:ind w:firstLine="2160" w:firstLineChars="900"/>
              <w:jc w:val="left"/>
              <w:rPr>
                <w:rFonts w:ascii="仿宋" w:hAnsi="仿宋" w:eastAsia="仿宋" w:cs="Times New Roman"/>
                <w:sz w:val="24"/>
                <w:szCs w:val="24"/>
              </w:rPr>
            </w:pPr>
            <w:r>
              <w:rPr>
                <w:rFonts w:hint="eastAsia" w:ascii="仿宋" w:hAnsi="仿宋" w:eastAsia="仿宋" w:cs="Times New Roman"/>
                <w:sz w:val="24"/>
                <w:szCs w:val="24"/>
              </w:rPr>
              <w:t>表5 轴承元件应变幅值</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843"/>
              <w:gridCol w:w="2409"/>
              <w:gridCol w:w="27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jc w:val="center"/>
                    <w:rPr>
                      <w:rFonts w:ascii="Calibri" w:hAnsi="Calibri" w:eastAsia="宋体" w:cs="Times New Roman"/>
                      <w:szCs w:val="21"/>
                    </w:rPr>
                  </w:pPr>
                  <w:r>
                    <w:rPr>
                      <w:rFonts w:hint="eastAsia" w:ascii="Calibri" w:hAnsi="Calibri" w:eastAsia="宋体" w:cs="Times New Roman"/>
                      <w:szCs w:val="21"/>
                    </w:rPr>
                    <w:t>径向力N</w:t>
                  </w:r>
                </w:p>
              </w:tc>
              <w:tc>
                <w:tcPr>
                  <w:tcW w:w="1843" w:type="dxa"/>
                </w:tcPr>
                <w:p>
                  <w:pPr>
                    <w:jc w:val="center"/>
                    <w:rPr>
                      <w:rFonts w:ascii="Calibri" w:hAnsi="Calibri" w:eastAsia="宋体" w:cs="Times New Roman"/>
                      <w:szCs w:val="21"/>
                    </w:rPr>
                  </w:pPr>
                  <w:r>
                    <w:rPr>
                      <w:rFonts w:hint="eastAsia" w:ascii="Calibri" w:hAnsi="Calibri" w:eastAsia="宋体" w:cs="Times New Roman"/>
                      <w:szCs w:val="21"/>
                    </w:rPr>
                    <w:t>内圈应变幅值单位</w:t>
                  </w:r>
                  <w:r>
                    <w:rPr>
                      <w:rFonts w:ascii="Calibri" w:hAnsi="Calibri" w:eastAsia="宋体" w:cs="Times New Roman"/>
                      <w:szCs w:val="21"/>
                    </w:rPr>
                    <w:t>E-004</w:t>
                  </w:r>
                  <w:r>
                    <w:rPr>
                      <w:rFonts w:hint="eastAsia" w:ascii="Calibri" w:hAnsi="Calibri" w:eastAsia="宋体" w:cs="Times New Roman"/>
                      <w:szCs w:val="21"/>
                    </w:rPr>
                    <w:t>mm</w:t>
                  </w:r>
                </w:p>
              </w:tc>
              <w:tc>
                <w:tcPr>
                  <w:tcW w:w="2409" w:type="dxa"/>
                </w:tcPr>
                <w:p>
                  <w:pPr>
                    <w:jc w:val="center"/>
                    <w:rPr>
                      <w:rFonts w:ascii="Calibri" w:hAnsi="Calibri" w:eastAsia="宋体" w:cs="Times New Roman"/>
                      <w:szCs w:val="21"/>
                    </w:rPr>
                  </w:pPr>
                  <w:r>
                    <w:rPr>
                      <w:rFonts w:hint="eastAsia" w:ascii="Calibri" w:hAnsi="Calibri" w:eastAsia="宋体" w:cs="Times New Roman"/>
                      <w:szCs w:val="21"/>
                    </w:rPr>
                    <w:t>滚动体应变幅值</w:t>
                  </w:r>
                </w:p>
                <w:p>
                  <w:pPr>
                    <w:jc w:val="center"/>
                    <w:rPr>
                      <w:rFonts w:ascii="Calibri" w:hAnsi="Calibri" w:eastAsia="宋体" w:cs="Times New Roman"/>
                      <w:szCs w:val="21"/>
                    </w:rPr>
                  </w:pPr>
                  <w:r>
                    <w:rPr>
                      <w:rFonts w:ascii="Calibri" w:hAnsi="Calibri" w:eastAsia="宋体" w:cs="Times New Roman"/>
                      <w:szCs w:val="21"/>
                    </w:rPr>
                    <w:t>E-004</w:t>
                  </w:r>
                  <w:r>
                    <w:rPr>
                      <w:rFonts w:hint="eastAsia" w:ascii="Calibri" w:hAnsi="Calibri" w:eastAsia="宋体" w:cs="Times New Roman"/>
                      <w:szCs w:val="21"/>
                    </w:rPr>
                    <w:t>mm</w:t>
                  </w:r>
                </w:p>
              </w:tc>
              <w:tc>
                <w:tcPr>
                  <w:tcW w:w="2744" w:type="dxa"/>
                </w:tcPr>
                <w:p>
                  <w:pPr>
                    <w:jc w:val="center"/>
                    <w:rPr>
                      <w:rFonts w:ascii="Calibri" w:hAnsi="Calibri" w:eastAsia="宋体" w:cs="Times New Roman"/>
                      <w:szCs w:val="21"/>
                    </w:rPr>
                  </w:pPr>
                  <w:r>
                    <w:rPr>
                      <w:rFonts w:hint="eastAsia" w:ascii="Calibri" w:hAnsi="Calibri" w:eastAsia="宋体" w:cs="Times New Roman"/>
                      <w:szCs w:val="21"/>
                    </w:rPr>
                    <w:t>外圈应变幅值</w:t>
                  </w:r>
                </w:p>
                <w:p>
                  <w:pPr>
                    <w:jc w:val="center"/>
                    <w:rPr>
                      <w:rFonts w:ascii="Calibri" w:hAnsi="Calibri" w:eastAsia="宋体" w:cs="Times New Roman"/>
                      <w:szCs w:val="21"/>
                    </w:rPr>
                  </w:pPr>
                  <w:r>
                    <w:rPr>
                      <w:rFonts w:ascii="Calibri" w:hAnsi="Calibri" w:eastAsia="宋体" w:cs="Times New Roman"/>
                      <w:szCs w:val="21"/>
                    </w:rPr>
                    <w:t>E-004</w:t>
                  </w:r>
                  <w:r>
                    <w:rPr>
                      <w:rFonts w:hint="eastAsia" w:ascii="Calibri" w:hAnsi="Calibri" w:eastAsia="宋体" w:cs="Times New Roman"/>
                      <w:szCs w:val="21"/>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jc w:val="center"/>
                    <w:rPr>
                      <w:rFonts w:ascii="Calibri" w:hAnsi="Calibri" w:eastAsia="宋体" w:cs="Times New Roman"/>
                      <w:szCs w:val="21"/>
                    </w:rPr>
                  </w:pPr>
                  <w:r>
                    <w:rPr>
                      <w:rFonts w:hint="eastAsia" w:ascii="Calibri" w:hAnsi="Calibri" w:eastAsia="宋体" w:cs="Times New Roman"/>
                      <w:szCs w:val="21"/>
                    </w:rPr>
                    <w:t>5000</w:t>
                  </w:r>
                </w:p>
              </w:tc>
              <w:tc>
                <w:tcPr>
                  <w:tcW w:w="1843" w:type="dxa"/>
                </w:tcPr>
                <w:p>
                  <w:pPr>
                    <w:jc w:val="center"/>
                    <w:rPr>
                      <w:rFonts w:ascii="Calibri" w:hAnsi="Calibri" w:eastAsia="宋体" w:cs="Times New Roman"/>
                      <w:szCs w:val="21"/>
                    </w:rPr>
                  </w:pPr>
                  <w:r>
                    <w:rPr>
                      <w:rFonts w:hint="eastAsia" w:ascii="Calibri" w:hAnsi="Calibri" w:eastAsia="宋体" w:cs="Times New Roman"/>
                      <w:szCs w:val="21"/>
                    </w:rPr>
                    <w:t>7.158</w:t>
                  </w:r>
                </w:p>
              </w:tc>
              <w:tc>
                <w:tcPr>
                  <w:tcW w:w="2409" w:type="dxa"/>
                </w:tcPr>
                <w:p>
                  <w:pPr>
                    <w:jc w:val="center"/>
                    <w:rPr>
                      <w:rFonts w:ascii="Calibri" w:hAnsi="Calibri" w:eastAsia="宋体" w:cs="Times New Roman"/>
                      <w:szCs w:val="21"/>
                    </w:rPr>
                  </w:pPr>
                  <w:r>
                    <w:rPr>
                      <w:rFonts w:hint="eastAsia" w:ascii="Calibri" w:hAnsi="Calibri" w:eastAsia="宋体" w:cs="Times New Roman"/>
                      <w:szCs w:val="21"/>
                    </w:rPr>
                    <w:t>6.087</w:t>
                  </w:r>
                </w:p>
              </w:tc>
              <w:tc>
                <w:tcPr>
                  <w:tcW w:w="2744" w:type="dxa"/>
                </w:tcPr>
                <w:p>
                  <w:pPr>
                    <w:jc w:val="center"/>
                    <w:rPr>
                      <w:rFonts w:ascii="Calibri" w:hAnsi="Calibri" w:eastAsia="宋体" w:cs="Times New Roman"/>
                      <w:szCs w:val="21"/>
                    </w:rPr>
                  </w:pPr>
                  <w:r>
                    <w:rPr>
                      <w:rFonts w:hint="eastAsia" w:ascii="Calibri" w:hAnsi="Calibri" w:eastAsia="宋体" w:cs="Times New Roman"/>
                      <w:szCs w:val="21"/>
                    </w:rPr>
                    <w:t>5.581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jc w:val="center"/>
                    <w:rPr>
                      <w:rFonts w:ascii="Calibri" w:hAnsi="Calibri" w:eastAsia="宋体" w:cs="Times New Roman"/>
                      <w:szCs w:val="21"/>
                    </w:rPr>
                  </w:pPr>
                  <w:r>
                    <w:rPr>
                      <w:rFonts w:hint="eastAsia" w:ascii="Calibri" w:hAnsi="Calibri" w:eastAsia="宋体" w:cs="Times New Roman"/>
                      <w:szCs w:val="21"/>
                    </w:rPr>
                    <w:t>10000</w:t>
                  </w:r>
                </w:p>
              </w:tc>
              <w:tc>
                <w:tcPr>
                  <w:tcW w:w="1843" w:type="dxa"/>
                </w:tcPr>
                <w:p>
                  <w:pPr>
                    <w:jc w:val="center"/>
                    <w:rPr>
                      <w:rFonts w:ascii="Calibri" w:hAnsi="Calibri" w:eastAsia="宋体" w:cs="Times New Roman"/>
                      <w:szCs w:val="21"/>
                    </w:rPr>
                  </w:pPr>
                  <w:r>
                    <w:rPr>
                      <w:rFonts w:hint="eastAsia" w:ascii="Calibri" w:hAnsi="Calibri" w:eastAsia="宋体" w:cs="Times New Roman"/>
                      <w:szCs w:val="21"/>
                    </w:rPr>
                    <w:t>14.32</w:t>
                  </w:r>
                </w:p>
              </w:tc>
              <w:tc>
                <w:tcPr>
                  <w:tcW w:w="2409" w:type="dxa"/>
                </w:tcPr>
                <w:p>
                  <w:pPr>
                    <w:jc w:val="center"/>
                    <w:rPr>
                      <w:rFonts w:ascii="Calibri" w:hAnsi="Calibri" w:eastAsia="宋体" w:cs="Times New Roman"/>
                      <w:szCs w:val="21"/>
                    </w:rPr>
                  </w:pPr>
                  <w:r>
                    <w:rPr>
                      <w:rFonts w:hint="eastAsia" w:ascii="Calibri" w:hAnsi="Calibri" w:eastAsia="宋体" w:cs="Times New Roman"/>
                      <w:szCs w:val="21"/>
                    </w:rPr>
                    <w:t>12.17</w:t>
                  </w:r>
                </w:p>
              </w:tc>
              <w:tc>
                <w:tcPr>
                  <w:tcW w:w="2744" w:type="dxa"/>
                </w:tcPr>
                <w:p>
                  <w:pPr>
                    <w:jc w:val="center"/>
                    <w:rPr>
                      <w:rFonts w:ascii="Calibri" w:hAnsi="Calibri" w:eastAsia="宋体" w:cs="Times New Roman"/>
                      <w:szCs w:val="21"/>
                    </w:rPr>
                  </w:pPr>
                  <w:r>
                    <w:rPr>
                      <w:rFonts w:hint="eastAsia" w:ascii="Calibri" w:hAnsi="Calibri" w:eastAsia="宋体" w:cs="Times New Roman"/>
                      <w:szCs w:val="21"/>
                    </w:rPr>
                    <w:t>11.16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26" w:type="dxa"/>
                </w:tcPr>
                <w:p>
                  <w:pPr>
                    <w:jc w:val="center"/>
                    <w:rPr>
                      <w:rFonts w:ascii="Calibri" w:hAnsi="Calibri" w:eastAsia="宋体" w:cs="Times New Roman"/>
                      <w:szCs w:val="21"/>
                    </w:rPr>
                  </w:pPr>
                  <w:r>
                    <w:rPr>
                      <w:rFonts w:hint="eastAsia" w:ascii="Calibri" w:hAnsi="Calibri" w:eastAsia="宋体" w:cs="Times New Roman"/>
                      <w:szCs w:val="21"/>
                    </w:rPr>
                    <w:t>15000</w:t>
                  </w:r>
                </w:p>
              </w:tc>
              <w:tc>
                <w:tcPr>
                  <w:tcW w:w="1843" w:type="dxa"/>
                </w:tcPr>
                <w:p>
                  <w:pPr>
                    <w:jc w:val="center"/>
                    <w:rPr>
                      <w:rFonts w:ascii="Calibri" w:hAnsi="Calibri" w:eastAsia="宋体" w:cs="Times New Roman"/>
                      <w:szCs w:val="21"/>
                    </w:rPr>
                  </w:pPr>
                  <w:r>
                    <w:rPr>
                      <w:rFonts w:hint="eastAsia" w:ascii="Calibri" w:hAnsi="Calibri" w:eastAsia="宋体" w:cs="Times New Roman"/>
                      <w:szCs w:val="21"/>
                    </w:rPr>
                    <w:t>21.47</w:t>
                  </w:r>
                </w:p>
              </w:tc>
              <w:tc>
                <w:tcPr>
                  <w:tcW w:w="2409" w:type="dxa"/>
                </w:tcPr>
                <w:p>
                  <w:pPr>
                    <w:jc w:val="center"/>
                    <w:rPr>
                      <w:rFonts w:ascii="Calibri" w:hAnsi="Calibri" w:eastAsia="宋体" w:cs="Times New Roman"/>
                      <w:szCs w:val="21"/>
                    </w:rPr>
                  </w:pPr>
                  <w:r>
                    <w:rPr>
                      <w:rFonts w:hint="eastAsia" w:ascii="Calibri" w:hAnsi="Calibri" w:eastAsia="宋体" w:cs="Times New Roman"/>
                      <w:szCs w:val="21"/>
                    </w:rPr>
                    <w:t>18.26</w:t>
                  </w:r>
                </w:p>
              </w:tc>
              <w:tc>
                <w:tcPr>
                  <w:tcW w:w="2744" w:type="dxa"/>
                </w:tcPr>
                <w:p>
                  <w:pPr>
                    <w:jc w:val="center"/>
                    <w:rPr>
                      <w:rFonts w:ascii="Calibri" w:hAnsi="Calibri" w:eastAsia="宋体" w:cs="Times New Roman"/>
                      <w:szCs w:val="21"/>
                    </w:rPr>
                  </w:pPr>
                  <w:r>
                    <w:rPr>
                      <w:rFonts w:hint="eastAsia" w:ascii="Calibri" w:hAnsi="Calibri" w:eastAsia="宋体" w:cs="Times New Roman"/>
                      <w:szCs w:val="21"/>
                    </w:rPr>
                    <w:t>16.74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jc w:val="center"/>
                    <w:rPr>
                      <w:rFonts w:ascii="Calibri" w:hAnsi="Calibri" w:eastAsia="宋体" w:cs="Times New Roman"/>
                      <w:szCs w:val="21"/>
                    </w:rPr>
                  </w:pPr>
                  <w:r>
                    <w:rPr>
                      <w:rFonts w:hint="eastAsia" w:ascii="Calibri" w:hAnsi="Calibri" w:eastAsia="宋体" w:cs="Times New Roman"/>
                      <w:szCs w:val="21"/>
                    </w:rPr>
                    <w:t>20000</w:t>
                  </w:r>
                </w:p>
              </w:tc>
              <w:tc>
                <w:tcPr>
                  <w:tcW w:w="1843" w:type="dxa"/>
                </w:tcPr>
                <w:p>
                  <w:pPr>
                    <w:jc w:val="center"/>
                    <w:rPr>
                      <w:rFonts w:ascii="Calibri" w:hAnsi="Calibri" w:eastAsia="宋体" w:cs="Times New Roman"/>
                      <w:szCs w:val="21"/>
                    </w:rPr>
                  </w:pPr>
                  <w:r>
                    <w:rPr>
                      <w:rFonts w:hint="eastAsia" w:ascii="Calibri" w:hAnsi="Calibri" w:eastAsia="宋体" w:cs="Times New Roman"/>
                      <w:szCs w:val="21"/>
                    </w:rPr>
                    <w:t>28.63</w:t>
                  </w:r>
                </w:p>
              </w:tc>
              <w:tc>
                <w:tcPr>
                  <w:tcW w:w="2409" w:type="dxa"/>
                </w:tcPr>
                <w:p>
                  <w:pPr>
                    <w:jc w:val="center"/>
                    <w:rPr>
                      <w:rFonts w:ascii="Calibri" w:hAnsi="Calibri" w:eastAsia="宋体" w:cs="Times New Roman"/>
                      <w:szCs w:val="21"/>
                    </w:rPr>
                  </w:pPr>
                  <w:r>
                    <w:rPr>
                      <w:rFonts w:hint="eastAsia" w:ascii="Calibri" w:hAnsi="Calibri" w:eastAsia="宋体" w:cs="Times New Roman"/>
                      <w:szCs w:val="21"/>
                    </w:rPr>
                    <w:t>24.35</w:t>
                  </w:r>
                </w:p>
              </w:tc>
              <w:tc>
                <w:tcPr>
                  <w:tcW w:w="2744" w:type="dxa"/>
                </w:tcPr>
                <w:p>
                  <w:pPr>
                    <w:jc w:val="center"/>
                    <w:rPr>
                      <w:rFonts w:ascii="Calibri" w:hAnsi="Calibri" w:eastAsia="宋体" w:cs="Times New Roman"/>
                      <w:szCs w:val="21"/>
                    </w:rPr>
                  </w:pPr>
                  <w:r>
                    <w:rPr>
                      <w:rFonts w:hint="eastAsia" w:ascii="Calibri" w:hAnsi="Calibri" w:eastAsia="宋体" w:cs="Times New Roman"/>
                      <w:szCs w:val="21"/>
                    </w:rPr>
                    <w:t>22.33</w:t>
                  </w:r>
                </w:p>
              </w:tc>
            </w:tr>
          </w:tbl>
          <w:p>
            <w:pPr>
              <w:rPr>
                <w:rFonts w:ascii="Calibri" w:hAnsi="Calibri" w:eastAsia="宋体" w:cs="Times New Roman"/>
                <w:sz w:val="28"/>
                <w:szCs w:val="28"/>
              </w:rPr>
            </w:pPr>
          </w:p>
          <w:p>
            <w:pPr>
              <w:ind w:firstLine="1050" w:firstLineChars="500"/>
              <w:rPr>
                <w:rFonts w:ascii="Calibri" w:hAnsi="Calibri" w:eastAsia="宋体" w:cs="Times New Roman"/>
                <w:sz w:val="28"/>
                <w:szCs w:val="28"/>
              </w:rPr>
            </w:pPr>
            <w:r>
              <w:rPr>
                <w:rFonts w:ascii="Calibri" w:hAnsi="Calibri" w:eastAsia="宋体" w:cs="Times New Roman"/>
              </w:rPr>
              <w:drawing>
                <wp:inline distT="0" distB="0" distL="0" distR="0">
                  <wp:extent cx="2809240" cy="21151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2818446" cy="2121989"/>
                          </a:xfrm>
                          <a:prstGeom prst="rect">
                            <a:avLst/>
                          </a:prstGeom>
                        </pic:spPr>
                      </pic:pic>
                    </a:graphicData>
                  </a:graphic>
                </wp:inline>
              </w:drawing>
            </w:r>
            <w:r>
              <w:rPr>
                <w:rFonts w:hint="eastAsia" w:ascii="Calibri" w:hAnsi="Calibri" w:eastAsia="宋体" w:cs="Times New Roman"/>
                <w:sz w:val="28"/>
                <w:szCs w:val="28"/>
              </w:rPr>
              <w:t>zhouc</w:t>
            </w:r>
          </w:p>
          <w:p>
            <w:pPr>
              <w:ind w:firstLine="1920" w:firstLineChars="800"/>
              <w:jc w:val="left"/>
              <w:rPr>
                <w:rFonts w:ascii="仿宋" w:hAnsi="仿宋" w:eastAsia="仿宋" w:cs="Times New Roman"/>
                <w:sz w:val="24"/>
                <w:szCs w:val="24"/>
              </w:rPr>
            </w:pPr>
            <w:r>
              <w:rPr>
                <w:rFonts w:hint="eastAsia" w:ascii="仿宋" w:hAnsi="仿宋" w:eastAsia="仿宋" w:cs="Times New Roman"/>
                <w:sz w:val="24"/>
                <w:szCs w:val="24"/>
              </w:rPr>
              <w:t>图7轴承元件最大应变幅值</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从表6和图8中数据可以得出：（1）在同一载荷作用下，滚动体编号不同即滚动体在轴承中所处的位置不同，滚动体的应变幅值不同。1号、2号、3号滚动体在承载区变形量较大；4号、5号在承载区和非承载分界线上，变形量比承载区轴承变形量小。6号、7号、8号轴承在非承载区，变形量最小。图8为滚动体在5000N径向力下作用下的变形情况。1号和2号滚动体变形区域近似为椭圆形，长、短半轴之比较大，变形面积比较集中。3号、4号滚动体变形区域近似椭圆形，长、短半轴之比较小。5号滚动体变形区域接近于圆形，变形量较小。（2）同一载荷作用下，不同编号滚动体的变形量呈非线性变化，应变幅值曲线与应力幅值曲线走势大致相同。（3）从图8可以看出，2号与3号滚动体的应变幅值曲线斜率绝对值较大，3号与4号滚动体的应变幅值曲线斜率绝对值也较大。这说明3号滚动体应变幅值下降较快，同样4号滚动体应变幅值下降也比较快。</w:t>
            </w:r>
          </w:p>
          <w:p>
            <w:pPr>
              <w:ind w:firstLine="1920" w:firstLineChars="800"/>
              <w:jc w:val="left"/>
              <w:rPr>
                <w:rFonts w:ascii="仿宋" w:hAnsi="仿宋" w:eastAsia="仿宋" w:cs="Times New Roman"/>
                <w:sz w:val="24"/>
                <w:szCs w:val="24"/>
              </w:rPr>
            </w:pPr>
            <w:r>
              <w:rPr>
                <w:rFonts w:hint="eastAsia" w:ascii="仿宋" w:hAnsi="仿宋" w:eastAsia="仿宋" w:cs="Times New Roman"/>
                <w:sz w:val="24"/>
                <w:szCs w:val="24"/>
              </w:rPr>
              <w:t>表6 不同滚动体应变幅值</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992"/>
              <w:gridCol w:w="992"/>
              <w:gridCol w:w="993"/>
              <w:gridCol w:w="850"/>
              <w:gridCol w:w="992"/>
              <w:gridCol w:w="993"/>
              <w:gridCol w:w="850"/>
              <w:gridCol w:w="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Align w:val="center"/>
                </w:tcPr>
                <w:p>
                  <w:pPr>
                    <w:jc w:val="center"/>
                    <w:rPr>
                      <w:rFonts w:ascii="Calibri" w:hAnsi="Calibri" w:eastAsia="宋体" w:cs="Times New Roman"/>
                      <w:szCs w:val="21"/>
                    </w:rPr>
                  </w:pPr>
                  <w:r>
                    <w:rPr>
                      <w:rFonts w:hint="eastAsia" w:ascii="Calibri" w:hAnsi="Calibri" w:eastAsia="宋体" w:cs="Times New Roman"/>
                      <w:szCs w:val="21"/>
                    </w:rPr>
                    <w:t>径向力N</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w:t>
                  </w:r>
                  <w:r>
                    <w:rPr>
                      <w:rFonts w:ascii="Calibri" w:hAnsi="Calibri" w:eastAsia="宋体" w:cs="Times New Roman"/>
                      <w:szCs w:val="21"/>
                    </w:rPr>
                    <w:t xml:space="preserve"> E-004</w:t>
                  </w:r>
                  <w:r>
                    <w:rPr>
                      <w:rFonts w:hint="eastAsia" w:ascii="Calibri" w:hAnsi="Calibri" w:eastAsia="宋体" w:cs="Times New Roman"/>
                      <w:szCs w:val="21"/>
                    </w:rPr>
                    <w:t>mm</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2</w:t>
                  </w:r>
                  <w:r>
                    <w:rPr>
                      <w:rFonts w:ascii="Calibri" w:hAnsi="Calibri" w:eastAsia="宋体" w:cs="Times New Roman"/>
                      <w:szCs w:val="21"/>
                    </w:rPr>
                    <w:t xml:space="preserve"> E-004mm</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3</w:t>
                  </w:r>
                  <w:r>
                    <w:rPr>
                      <w:rFonts w:ascii="Calibri" w:hAnsi="Calibri" w:eastAsia="宋体" w:cs="Times New Roman"/>
                      <w:szCs w:val="21"/>
                    </w:rPr>
                    <w:t xml:space="preserve"> E-004mm</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4</w:t>
                  </w:r>
                  <w:r>
                    <w:rPr>
                      <w:rFonts w:ascii="Calibri" w:hAnsi="Calibri" w:eastAsia="宋体" w:cs="Times New Roman"/>
                      <w:szCs w:val="21"/>
                    </w:rPr>
                    <w:t xml:space="preserve"> E-004mm</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5</w:t>
                  </w:r>
                  <w:r>
                    <w:rPr>
                      <w:rFonts w:ascii="Calibri" w:hAnsi="Calibri" w:eastAsia="宋体" w:cs="Times New Roman"/>
                      <w:szCs w:val="21"/>
                    </w:rPr>
                    <w:t xml:space="preserve"> E-004mm</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6</w:t>
                  </w:r>
                  <w:r>
                    <w:rPr>
                      <w:rFonts w:ascii="Calibri" w:hAnsi="Calibri" w:eastAsia="宋体" w:cs="Times New Roman"/>
                      <w:szCs w:val="21"/>
                    </w:rPr>
                    <w:t xml:space="preserve"> E-004mm</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7</w:t>
                  </w:r>
                  <w:r>
                    <w:rPr>
                      <w:rFonts w:ascii="Calibri" w:hAnsi="Calibri" w:eastAsia="宋体" w:cs="Times New Roman"/>
                      <w:szCs w:val="21"/>
                    </w:rPr>
                    <w:t xml:space="preserve"> E-004mm</w:t>
                  </w:r>
                </w:p>
              </w:tc>
              <w:tc>
                <w:tcPr>
                  <w:tcW w:w="901" w:type="dxa"/>
                  <w:vAlign w:val="center"/>
                </w:tcPr>
                <w:p>
                  <w:pPr>
                    <w:jc w:val="center"/>
                    <w:rPr>
                      <w:rFonts w:ascii="Calibri" w:hAnsi="Calibri" w:eastAsia="宋体" w:cs="Times New Roman"/>
                      <w:szCs w:val="21"/>
                    </w:rPr>
                  </w:pPr>
                  <w:r>
                    <w:rPr>
                      <w:rFonts w:hint="eastAsia" w:ascii="Calibri" w:hAnsi="Calibri" w:eastAsia="宋体" w:cs="Times New Roman"/>
                      <w:szCs w:val="21"/>
                    </w:rPr>
                    <w:t>8</w:t>
                  </w:r>
                  <w:r>
                    <w:rPr>
                      <w:rFonts w:ascii="Calibri" w:hAnsi="Calibri" w:eastAsia="宋体" w:cs="Times New Roman"/>
                      <w:szCs w:val="21"/>
                    </w:rPr>
                    <w:t xml:space="preserve"> E-004mm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Align w:val="center"/>
                </w:tcPr>
                <w:p>
                  <w:pPr>
                    <w:jc w:val="center"/>
                    <w:rPr>
                      <w:rFonts w:ascii="Calibri" w:hAnsi="Calibri" w:eastAsia="宋体" w:cs="Times New Roman"/>
                      <w:szCs w:val="21"/>
                    </w:rPr>
                  </w:pPr>
                  <w:r>
                    <w:rPr>
                      <w:rFonts w:hint="eastAsia" w:ascii="Calibri" w:hAnsi="Calibri" w:eastAsia="宋体" w:cs="Times New Roman"/>
                      <w:szCs w:val="21"/>
                    </w:rPr>
                    <w:t>5000</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6.087</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5.916</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4.779</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3.411</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2.877</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2.003</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1.107</w:t>
                  </w:r>
                </w:p>
              </w:tc>
              <w:tc>
                <w:tcPr>
                  <w:tcW w:w="901" w:type="dxa"/>
                  <w:vAlign w:val="center"/>
                </w:tcPr>
                <w:p>
                  <w:pPr>
                    <w:jc w:val="center"/>
                    <w:rPr>
                      <w:rFonts w:ascii="Calibri" w:hAnsi="Calibri" w:eastAsia="宋体" w:cs="Times New Roman"/>
                      <w:szCs w:val="21"/>
                    </w:rPr>
                  </w:pPr>
                  <w:r>
                    <w:rPr>
                      <w:rFonts w:hint="eastAsia" w:ascii="Calibri" w:hAnsi="Calibri" w:eastAsia="宋体" w:cs="Times New Roman"/>
                      <w:szCs w:val="21"/>
                    </w:rPr>
                    <w:t>0.685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Align w:val="center"/>
                </w:tcPr>
                <w:p>
                  <w:pPr>
                    <w:jc w:val="center"/>
                    <w:rPr>
                      <w:rFonts w:ascii="Calibri" w:hAnsi="Calibri" w:eastAsia="宋体" w:cs="Times New Roman"/>
                      <w:szCs w:val="21"/>
                    </w:rPr>
                  </w:pPr>
                  <w:r>
                    <w:rPr>
                      <w:rFonts w:hint="eastAsia" w:ascii="Calibri" w:hAnsi="Calibri" w:eastAsia="宋体" w:cs="Times New Roman"/>
                      <w:szCs w:val="21"/>
                    </w:rPr>
                    <w:t>10000</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12.17</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10.89</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7.902</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5.775</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5.009</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2.975</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1.556</w:t>
                  </w:r>
                </w:p>
              </w:tc>
              <w:tc>
                <w:tcPr>
                  <w:tcW w:w="901" w:type="dxa"/>
                  <w:vAlign w:val="center"/>
                </w:tcPr>
                <w:p>
                  <w:pPr>
                    <w:jc w:val="center"/>
                    <w:rPr>
                      <w:rFonts w:ascii="Calibri" w:hAnsi="Calibri" w:eastAsia="宋体" w:cs="Times New Roman"/>
                      <w:szCs w:val="21"/>
                    </w:rPr>
                  </w:pPr>
                  <w:r>
                    <w:rPr>
                      <w:rFonts w:hint="eastAsia" w:ascii="Calibri" w:hAnsi="Calibri" w:eastAsia="宋体" w:cs="Times New Roman"/>
                      <w:szCs w:val="21"/>
                    </w:rPr>
                    <w:t>0.819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9" w:type="dxa"/>
                  <w:vAlign w:val="center"/>
                </w:tcPr>
                <w:p>
                  <w:pPr>
                    <w:jc w:val="center"/>
                    <w:rPr>
                      <w:rFonts w:ascii="Calibri" w:hAnsi="Calibri" w:eastAsia="宋体" w:cs="Times New Roman"/>
                      <w:szCs w:val="21"/>
                    </w:rPr>
                  </w:pPr>
                  <w:r>
                    <w:rPr>
                      <w:rFonts w:hint="eastAsia" w:ascii="Calibri" w:hAnsi="Calibri" w:eastAsia="宋体" w:cs="Times New Roman"/>
                      <w:szCs w:val="21"/>
                    </w:rPr>
                    <w:t>15000</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18.26</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16.33</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11.85</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8.66</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7.51</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4.46</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2.334</w:t>
                  </w:r>
                </w:p>
              </w:tc>
              <w:tc>
                <w:tcPr>
                  <w:tcW w:w="901" w:type="dxa"/>
                  <w:vAlign w:val="center"/>
                </w:tcPr>
                <w:p>
                  <w:pPr>
                    <w:jc w:val="center"/>
                    <w:rPr>
                      <w:rFonts w:ascii="Calibri" w:hAnsi="Calibri" w:eastAsia="宋体" w:cs="Times New Roman"/>
                      <w:szCs w:val="21"/>
                    </w:rPr>
                  </w:pPr>
                  <w:r>
                    <w:rPr>
                      <w:rFonts w:hint="eastAsia" w:ascii="Calibri" w:hAnsi="Calibri" w:eastAsia="宋体" w:cs="Times New Roman"/>
                      <w:szCs w:val="21"/>
                    </w:rPr>
                    <w:t>1.228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Align w:val="center"/>
                </w:tcPr>
                <w:p>
                  <w:pPr>
                    <w:jc w:val="center"/>
                    <w:rPr>
                      <w:rFonts w:ascii="Calibri" w:hAnsi="Calibri" w:eastAsia="宋体" w:cs="Times New Roman"/>
                      <w:szCs w:val="21"/>
                    </w:rPr>
                  </w:pPr>
                  <w:r>
                    <w:rPr>
                      <w:rFonts w:hint="eastAsia" w:ascii="Calibri" w:hAnsi="Calibri" w:eastAsia="宋体" w:cs="Times New Roman"/>
                      <w:szCs w:val="21"/>
                    </w:rPr>
                    <w:t>20000</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24.35</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21.77</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15.80</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11.55</w:t>
                  </w:r>
                </w:p>
              </w:tc>
              <w:tc>
                <w:tcPr>
                  <w:tcW w:w="992" w:type="dxa"/>
                  <w:vAlign w:val="center"/>
                </w:tcPr>
                <w:p>
                  <w:pPr>
                    <w:jc w:val="center"/>
                    <w:rPr>
                      <w:rFonts w:ascii="Calibri" w:hAnsi="Calibri" w:eastAsia="宋体" w:cs="Times New Roman"/>
                      <w:szCs w:val="21"/>
                    </w:rPr>
                  </w:pPr>
                  <w:r>
                    <w:rPr>
                      <w:rFonts w:hint="eastAsia" w:ascii="Calibri" w:hAnsi="Calibri" w:eastAsia="宋体" w:cs="Times New Roman"/>
                      <w:szCs w:val="21"/>
                    </w:rPr>
                    <w:t>10.02</w:t>
                  </w:r>
                </w:p>
              </w:tc>
              <w:tc>
                <w:tcPr>
                  <w:tcW w:w="993" w:type="dxa"/>
                  <w:vAlign w:val="center"/>
                </w:tcPr>
                <w:p>
                  <w:pPr>
                    <w:jc w:val="center"/>
                    <w:rPr>
                      <w:rFonts w:ascii="Calibri" w:hAnsi="Calibri" w:eastAsia="宋体" w:cs="Times New Roman"/>
                      <w:szCs w:val="21"/>
                    </w:rPr>
                  </w:pPr>
                  <w:r>
                    <w:rPr>
                      <w:rFonts w:hint="eastAsia" w:ascii="Calibri" w:hAnsi="Calibri" w:eastAsia="宋体" w:cs="Times New Roman"/>
                      <w:szCs w:val="21"/>
                    </w:rPr>
                    <w:t>5.95</w:t>
                  </w:r>
                </w:p>
              </w:tc>
              <w:tc>
                <w:tcPr>
                  <w:tcW w:w="850" w:type="dxa"/>
                  <w:vAlign w:val="center"/>
                </w:tcPr>
                <w:p>
                  <w:pPr>
                    <w:jc w:val="center"/>
                    <w:rPr>
                      <w:rFonts w:ascii="Calibri" w:hAnsi="Calibri" w:eastAsia="宋体" w:cs="Times New Roman"/>
                      <w:szCs w:val="21"/>
                    </w:rPr>
                  </w:pPr>
                  <w:r>
                    <w:rPr>
                      <w:rFonts w:hint="eastAsia" w:ascii="Calibri" w:hAnsi="Calibri" w:eastAsia="宋体" w:cs="Times New Roman"/>
                      <w:szCs w:val="21"/>
                    </w:rPr>
                    <w:t>3.11</w:t>
                  </w:r>
                </w:p>
              </w:tc>
              <w:tc>
                <w:tcPr>
                  <w:tcW w:w="901" w:type="dxa"/>
                  <w:vAlign w:val="center"/>
                </w:tcPr>
                <w:p>
                  <w:pPr>
                    <w:jc w:val="center"/>
                    <w:rPr>
                      <w:rFonts w:ascii="Calibri" w:hAnsi="Calibri" w:eastAsia="宋体" w:cs="Times New Roman"/>
                      <w:szCs w:val="21"/>
                    </w:rPr>
                  </w:pPr>
                  <w:r>
                    <w:rPr>
                      <w:rFonts w:hint="eastAsia" w:ascii="Calibri" w:hAnsi="Calibri" w:eastAsia="宋体" w:cs="Times New Roman"/>
                      <w:szCs w:val="21"/>
                    </w:rPr>
                    <w:t>1.64</w:t>
                  </w:r>
                </w:p>
              </w:tc>
            </w:tr>
          </w:tbl>
          <w:p>
            <w:pPr>
              <w:jc w:val="center"/>
              <w:rPr>
                <w:rFonts w:ascii="Calibri" w:hAnsi="Calibri" w:eastAsia="宋体" w:cs="Times New Roman"/>
                <w:sz w:val="28"/>
                <w:szCs w:val="28"/>
              </w:rPr>
            </w:pPr>
            <w:r>
              <w:rPr>
                <w:rFonts w:ascii="Calibri" w:hAnsi="Calibri" w:eastAsia="宋体" w:cs="Times New Roman"/>
              </w:rPr>
              <w:drawing>
                <wp:inline distT="0" distB="0" distL="0" distR="0">
                  <wp:extent cx="2369820" cy="18719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378066" cy="1878783"/>
                          </a:xfrm>
                          <a:prstGeom prst="rect">
                            <a:avLst/>
                          </a:prstGeom>
                        </pic:spPr>
                      </pic:pic>
                    </a:graphicData>
                  </a:graphic>
                </wp:inline>
              </w:drawing>
            </w:r>
          </w:p>
          <w:p>
            <w:pPr>
              <w:jc w:val="left"/>
              <w:rPr>
                <w:rFonts w:ascii="仿宋" w:hAnsi="仿宋" w:eastAsia="仿宋" w:cs="Times New Roman"/>
                <w:sz w:val="24"/>
                <w:szCs w:val="24"/>
              </w:rPr>
            </w:pPr>
            <w:r>
              <w:rPr>
                <w:rFonts w:hint="eastAsia" w:ascii="Calibri" w:hAnsi="Calibri" w:eastAsia="宋体" w:cs="Times New Roman"/>
                <w:sz w:val="28"/>
                <w:szCs w:val="28"/>
              </w:rPr>
              <w:t xml:space="preserve">             </w:t>
            </w:r>
            <w:r>
              <w:rPr>
                <w:rFonts w:hint="eastAsia" w:ascii="仿宋" w:hAnsi="仿宋" w:eastAsia="仿宋" w:cs="Times New Roman"/>
                <w:sz w:val="24"/>
                <w:szCs w:val="24"/>
              </w:rPr>
              <w:t xml:space="preserve">       8不同滚动体最大应变幅值分布</w:t>
            </w:r>
          </w:p>
          <w:p>
            <w:pPr>
              <w:ind w:firstLine="210" w:firstLineChars="100"/>
              <w:jc w:val="left"/>
              <w:rPr>
                <w:rFonts w:ascii="Calibri" w:hAnsi="Calibri" w:eastAsia="宋体" w:cs="Times New Roman"/>
                <w:sz w:val="28"/>
                <w:szCs w:val="28"/>
              </w:rPr>
            </w:pPr>
            <w:r>
              <w:rPr>
                <w:rFonts w:ascii="Calibri" w:hAnsi="Calibri" w:eastAsia="宋体" w:cs="Times New Roman"/>
              </w:rPr>
              <w:drawing>
                <wp:inline distT="0" distB="0" distL="0" distR="0">
                  <wp:extent cx="884555" cy="96710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891872" cy="974643"/>
                          </a:xfrm>
                          <a:prstGeom prst="rect">
                            <a:avLst/>
                          </a:prstGeom>
                        </pic:spPr>
                      </pic:pic>
                    </a:graphicData>
                  </a:graphic>
                </wp:inline>
              </w:drawing>
            </w:r>
            <w:r>
              <w:rPr>
                <w:rFonts w:ascii="Calibri" w:hAnsi="Calibri" w:eastAsia="宋体" w:cs="Times New Roman"/>
              </w:rPr>
              <w:drawing>
                <wp:inline distT="0" distB="0" distL="0" distR="0">
                  <wp:extent cx="951865" cy="914400"/>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958258" cy="920232"/>
                          </a:xfrm>
                          <a:prstGeom prst="rect">
                            <a:avLst/>
                          </a:prstGeom>
                        </pic:spPr>
                      </pic:pic>
                    </a:graphicData>
                  </a:graphic>
                </wp:inline>
              </w:drawing>
            </w:r>
            <w:r>
              <w:rPr>
                <w:rFonts w:ascii="Calibri" w:hAnsi="Calibri" w:eastAsia="宋体" w:cs="Times New Roman"/>
              </w:rPr>
              <w:drawing>
                <wp:inline distT="0" distB="0" distL="0" distR="0">
                  <wp:extent cx="897255" cy="92011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900334" cy="923289"/>
                          </a:xfrm>
                          <a:prstGeom prst="rect">
                            <a:avLst/>
                          </a:prstGeom>
                        </pic:spPr>
                      </pic:pic>
                    </a:graphicData>
                  </a:graphic>
                </wp:inline>
              </w:drawing>
            </w:r>
            <w:r>
              <w:rPr>
                <w:rFonts w:ascii="Calibri" w:hAnsi="Calibri" w:eastAsia="宋体" w:cs="Times New Roman"/>
              </w:rPr>
              <w:drawing>
                <wp:inline distT="0" distB="0" distL="0" distR="0">
                  <wp:extent cx="1009650" cy="9156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1017273" cy="922842"/>
                          </a:xfrm>
                          <a:prstGeom prst="rect">
                            <a:avLst/>
                          </a:prstGeom>
                        </pic:spPr>
                      </pic:pic>
                    </a:graphicData>
                  </a:graphic>
                </wp:inline>
              </w:drawing>
            </w:r>
            <w:r>
              <w:rPr>
                <w:rFonts w:ascii="Calibri" w:hAnsi="Calibri" w:eastAsia="宋体" w:cs="Times New Roman"/>
              </w:rPr>
              <w:drawing>
                <wp:inline distT="0" distB="0" distL="0" distR="0">
                  <wp:extent cx="914400" cy="9220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914622" cy="922598"/>
                          </a:xfrm>
                          <a:prstGeom prst="rect">
                            <a:avLst/>
                          </a:prstGeom>
                        </pic:spPr>
                      </pic:pic>
                    </a:graphicData>
                  </a:graphic>
                </wp:inline>
              </w:drawing>
            </w:r>
          </w:p>
          <w:p>
            <w:pPr>
              <w:ind w:firstLine="210" w:firstLineChars="100"/>
              <w:jc w:val="left"/>
              <w:rPr>
                <w:rFonts w:ascii="Calibri" w:hAnsi="Calibri" w:eastAsia="宋体" w:cs="Times New Roman"/>
                <w:szCs w:val="21"/>
              </w:rPr>
            </w:pPr>
            <w:r>
              <w:rPr>
                <w:rFonts w:hint="eastAsia" w:ascii="Calibri" w:hAnsi="Calibri" w:eastAsia="宋体" w:cs="Times New Roman"/>
                <w:szCs w:val="21"/>
              </w:rPr>
              <w:t>1号滚动体      2号滚动体     3号滚动体    4号滚动体      5号滚动体</w:t>
            </w:r>
          </w:p>
          <w:p>
            <w:pPr>
              <w:ind w:firstLine="840" w:firstLineChars="300"/>
              <w:jc w:val="left"/>
              <w:rPr>
                <w:rFonts w:ascii="仿宋" w:hAnsi="仿宋" w:eastAsia="仿宋" w:cs="Times New Roman"/>
                <w:sz w:val="24"/>
                <w:szCs w:val="24"/>
              </w:rPr>
            </w:pPr>
            <w:r>
              <w:rPr>
                <w:rFonts w:hint="eastAsia" w:ascii="Calibri" w:hAnsi="Calibri" w:eastAsia="宋体" w:cs="Times New Roman"/>
                <w:sz w:val="28"/>
                <w:szCs w:val="28"/>
              </w:rPr>
              <w:t xml:space="preserve">       </w:t>
            </w:r>
            <w:r>
              <w:rPr>
                <w:rFonts w:hint="eastAsia" w:ascii="仿宋" w:hAnsi="仿宋" w:eastAsia="仿宋" w:cs="Times New Roman"/>
                <w:sz w:val="24"/>
                <w:szCs w:val="24"/>
              </w:rPr>
              <w:t>图9  5000N径向力下不同滚动体应变图</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图9为1-5号滚动体变形分布图，从图中可以看出1号滚动体变形最大，变形区域为椭圆形。2号滚动体因稍微偏离滚动体的正下方，变形也较大，变形区域为非对称椭圆形。3-5号滚动体因逐渐偏离轴承正下方位置，因此变形量依次减小，5号滚动体变形区域非常小。</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实验结论：</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（1）同一载荷作用下轴承元件之间应力、应变值逐渐衰减。轴承内圈应力、应变值最大，其次是1号滚动体，外圈应力、应变值最小。同一载荷作用下，滚动体上的应力、应变随滚动体位置变化成脉动循环状态。</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（2）同一元件在相同增量载荷的作用下，应力值成线性变化，应变值成线性关系。</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（3）相邻应力、应变差值随着载荷增大而增大。轴承内圈应变、应力幅值曲线；滚动体应力、应变幅值曲线；轴承外圈应力、应变幅值曲线斜率各不相同。</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（4）滚动体应力、应变的大小与滚动体所处的位置有关。承载区滚动体所受应力、应变较大，远离承载区的滚动体所受应力、应变较小。</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（5）滚动体在载荷作用下，长、短半轴之比较大，变形面积比较集中，变形区域近似椭圆形。长、短半轴之比较小，变形区域接近于圆形，变形量较小。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1"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3-8面向学生要求</w:t>
            </w:r>
          </w:p>
          <w:p>
            <w:pPr>
              <w:pStyle w:val="14"/>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（1）专业与年级要求</w:t>
            </w:r>
          </w:p>
          <w:p>
            <w:pPr>
              <w:spacing w:line="288" w:lineRule="auto"/>
              <w:ind w:firstLine="720" w:firstLineChars="300"/>
              <w:jc w:val="left"/>
              <w:rPr>
                <w:rFonts w:ascii="仿宋_GB2312" w:hAnsi="Times New Roman" w:eastAsia="仿宋_GB2312"/>
                <w:sz w:val="24"/>
                <w:szCs w:val="24"/>
              </w:rPr>
            </w:pPr>
            <w:r>
              <w:rPr>
                <w:rFonts w:hint="eastAsia" w:ascii="仿宋_GB2312" w:hAnsi="Times New Roman" w:eastAsia="仿宋_GB2312"/>
                <w:sz w:val="24"/>
                <w:szCs w:val="24"/>
              </w:rPr>
              <w:t>适应大学三年级，机械设计制造及其自动化专业的学生。</w:t>
            </w:r>
          </w:p>
          <w:p>
            <w:pPr>
              <w:pStyle w:val="14"/>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（2）基本知识和能力要求</w:t>
            </w:r>
          </w:p>
          <w:p>
            <w:pPr>
              <w:pStyle w:val="14"/>
              <w:spacing w:line="288" w:lineRule="auto"/>
              <w:ind w:firstLineChars="0"/>
              <w:jc w:val="left"/>
              <w:rPr>
                <w:rFonts w:ascii="仿宋_GB2312" w:hAnsi="仿宋" w:eastAsia="仿宋_GB2312"/>
                <w:sz w:val="24"/>
                <w:szCs w:val="24"/>
              </w:rPr>
            </w:pPr>
            <w:r>
              <w:rPr>
                <w:rFonts w:hint="eastAsia" w:ascii="仿宋_GB2312" w:hAnsi="仿宋" w:eastAsia="仿宋_GB2312"/>
                <w:sz w:val="24"/>
                <w:szCs w:val="24"/>
              </w:rPr>
              <w:t xml:space="preserve"> 学过UGNX、EXCEL软件、《机械设计》、《材料力学》等课程。</w:t>
            </w:r>
          </w:p>
          <w:p>
            <w:pPr>
              <w:spacing w:line="288" w:lineRule="auto"/>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44"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3-9实验应用及共享情况</w:t>
            </w:r>
          </w:p>
          <w:p>
            <w:pPr>
              <w:numPr>
                <w:ilvl w:val="255"/>
                <w:numId w:val="0"/>
              </w:numPr>
              <w:spacing w:before="156" w:beforeLines="50" w:line="360" w:lineRule="auto"/>
              <w:ind w:firstLine="120" w:firstLineChars="50"/>
              <w:jc w:val="left"/>
              <w:rPr>
                <w:rFonts w:ascii="Times New Roman" w:hAnsi="Times New Roman" w:eastAsia="仿宋_GB2312"/>
                <w:color w:val="FF0000"/>
                <w:sz w:val="24"/>
                <w:szCs w:val="24"/>
              </w:rPr>
            </w:pPr>
            <w:r>
              <w:rPr>
                <w:rFonts w:hint="eastAsia" w:ascii="Times New Roman" w:hAnsi="Times New Roman" w:eastAsia="仿宋_GB2312"/>
                <w:sz w:val="24"/>
                <w:szCs w:val="24"/>
              </w:rPr>
              <w:t>（1）本校上线时间 ：2018  年 3 月 1 日 （</w:t>
            </w:r>
            <w:r>
              <w:rPr>
                <w:rFonts w:ascii="Times New Roman" w:hAnsi="Times New Roman" w:eastAsia="仿宋_GB2312"/>
                <w:sz w:val="24"/>
                <w:szCs w:val="24"/>
              </w:rPr>
              <w:t>上传</w:t>
            </w:r>
            <w:r>
              <w:rPr>
                <w:rFonts w:hint="eastAsia" w:ascii="Times New Roman" w:hAnsi="Times New Roman" w:eastAsia="仿宋_GB2312"/>
                <w:sz w:val="24"/>
                <w:szCs w:val="24"/>
              </w:rPr>
              <w:t>系统</w:t>
            </w:r>
            <w:r>
              <w:rPr>
                <w:rFonts w:ascii="Times New Roman" w:hAnsi="Times New Roman" w:eastAsia="仿宋_GB2312"/>
                <w:sz w:val="24"/>
                <w:szCs w:val="24"/>
              </w:rPr>
              <w:t>日志</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（2）已服务过的学生人数：本校 309 人，</w:t>
            </w:r>
            <w:r>
              <w:rPr>
                <w:rFonts w:ascii="Times New Roman" w:hAnsi="Times New Roman" w:eastAsia="仿宋_GB2312"/>
                <w:sz w:val="24"/>
                <w:szCs w:val="24"/>
              </w:rPr>
              <w:t>外校</w:t>
            </w:r>
            <w:r>
              <w:rPr>
                <w:rFonts w:hint="eastAsia" w:ascii="Times New Roman" w:hAnsi="Times New Roman" w:eastAsia="仿宋_GB2312"/>
                <w:sz w:val="24"/>
                <w:szCs w:val="24"/>
              </w:rPr>
              <w:t xml:space="preserve"> 0人</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（3）附所属课程教学计划或授课提纲并</w:t>
            </w:r>
            <w:r>
              <w:rPr>
                <w:rFonts w:ascii="Times New Roman" w:hAnsi="Times New Roman" w:eastAsia="仿宋_GB2312"/>
                <w:sz w:val="24"/>
                <w:szCs w:val="24"/>
              </w:rPr>
              <w:t>填写</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纳入</w:t>
            </w:r>
            <w:r>
              <w:rPr>
                <w:rFonts w:ascii="Times New Roman" w:hAnsi="Times New Roman" w:eastAsia="仿宋_GB2312"/>
                <w:sz w:val="24"/>
                <w:szCs w:val="24"/>
              </w:rPr>
              <w:t>教学计划的专业数</w:t>
            </w:r>
            <w:r>
              <w:rPr>
                <w:rFonts w:hint="eastAsia" w:ascii="Times New Roman" w:hAnsi="Times New Roman" w:eastAsia="仿宋_GB2312"/>
                <w:sz w:val="24"/>
                <w:szCs w:val="24"/>
              </w:rPr>
              <w:t>： 200人  ，</w:t>
            </w:r>
            <w:r>
              <w:rPr>
                <w:rFonts w:ascii="Times New Roman" w:hAnsi="Times New Roman" w:eastAsia="仿宋_GB2312"/>
                <w:sz w:val="24"/>
                <w:szCs w:val="24"/>
              </w:rPr>
              <w:t>具体</w:t>
            </w:r>
            <w:r>
              <w:rPr>
                <w:rFonts w:hint="eastAsia" w:ascii="Times New Roman" w:hAnsi="Times New Roman" w:eastAsia="仿宋_GB2312"/>
                <w:sz w:val="24"/>
                <w:szCs w:val="24"/>
              </w:rPr>
              <w:t>专业：机械设计制造及其自动化 ，</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教学</w:t>
            </w:r>
            <w:r>
              <w:rPr>
                <w:rFonts w:ascii="Times New Roman" w:hAnsi="Times New Roman" w:eastAsia="仿宋_GB2312"/>
                <w:sz w:val="24"/>
                <w:szCs w:val="24"/>
              </w:rPr>
              <w:t>周期</w:t>
            </w:r>
            <w:r>
              <w:rPr>
                <w:rFonts w:hint="eastAsia" w:ascii="Times New Roman" w:hAnsi="Times New Roman" w:eastAsia="仿宋_GB2312"/>
                <w:sz w:val="24"/>
                <w:szCs w:val="24"/>
              </w:rPr>
              <w:t>： 2  ，</w:t>
            </w:r>
            <w:r>
              <w:rPr>
                <w:rFonts w:ascii="Times New Roman" w:hAnsi="Times New Roman" w:eastAsia="仿宋_GB2312"/>
                <w:sz w:val="24"/>
                <w:szCs w:val="24"/>
              </w:rPr>
              <w:t>学习人数</w:t>
            </w:r>
            <w:r>
              <w:rPr>
                <w:rFonts w:hint="eastAsia" w:ascii="Times New Roman" w:hAnsi="Times New Roman" w:eastAsia="仿宋_GB2312"/>
                <w:sz w:val="24"/>
                <w:szCs w:val="24"/>
              </w:rPr>
              <w:t xml:space="preserve">： 200人  </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（4）是否面向社会提供服务：○是  ●否</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（5）社会开放时间：   年   月   日</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（6）已服务过</w:t>
            </w:r>
            <w:r>
              <w:rPr>
                <w:rFonts w:ascii="Times New Roman" w:hAnsi="Times New Roman" w:eastAsia="仿宋_GB2312"/>
                <w:sz w:val="24"/>
                <w:szCs w:val="24"/>
              </w:rPr>
              <w:t>的社会</w:t>
            </w:r>
            <w:r>
              <w:rPr>
                <w:rFonts w:hint="eastAsia" w:ascii="Times New Roman" w:hAnsi="Times New Roman" w:eastAsia="仿宋_GB2312"/>
                <w:sz w:val="24"/>
                <w:szCs w:val="24"/>
              </w:rPr>
              <w:t>学习</w:t>
            </w:r>
            <w:r>
              <w:rPr>
                <w:rFonts w:ascii="Times New Roman" w:hAnsi="Times New Roman" w:eastAsia="仿宋_GB2312"/>
                <w:sz w:val="24"/>
                <w:szCs w:val="24"/>
              </w:rPr>
              <w:t>者</w:t>
            </w:r>
            <w:r>
              <w:rPr>
                <w:rFonts w:hint="eastAsia" w:ascii="Times New Roman" w:hAnsi="Times New Roman" w:eastAsia="仿宋_GB2312"/>
                <w:sz w:val="24"/>
                <w:szCs w:val="24"/>
              </w:rPr>
              <w:t>人数：0 人</w:t>
            </w:r>
          </w:p>
        </w:tc>
      </w:tr>
    </w:tbl>
    <w:p>
      <w:pPr>
        <w:spacing w:before="260" w:line="416" w:lineRule="auto"/>
        <w:jc w:val="left"/>
        <w:rPr>
          <w:rFonts w:ascii="黑体" w:hAnsi="黑体" w:eastAsia="黑体" w:cs="Times New Roman"/>
          <w:bCs/>
          <w:sz w:val="28"/>
        </w:rPr>
      </w:pPr>
      <w:r>
        <w:rPr>
          <w:rFonts w:hint="eastAsia" w:ascii="黑体" w:hAnsi="黑体" w:eastAsia="黑体" w:cs="Times New Roman"/>
          <w:bCs/>
          <w:sz w:val="28"/>
        </w:rPr>
        <w:t>4.实验教学特色</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911" w:hRule="atLeast"/>
          <w:jc w:val="center"/>
        </w:trPr>
        <w:tc>
          <w:tcPr>
            <w:tcW w:w="8556" w:type="dxa"/>
          </w:tcPr>
          <w:p>
            <w:pPr>
              <w:spacing w:line="560" w:lineRule="exact"/>
              <w:jc w:val="left"/>
              <w:rPr>
                <w:rFonts w:ascii="Times New Roman" w:hAnsi="Times New Roman" w:eastAsia="仿宋_GB2312"/>
                <w:sz w:val="24"/>
                <w:szCs w:val="24"/>
              </w:rPr>
            </w:pPr>
            <w:r>
              <w:rPr>
                <w:rFonts w:hint="eastAsia" w:ascii="Times New Roman" w:hAnsi="Times New Roman" w:eastAsia="仿宋_GB2312"/>
                <w:sz w:val="24"/>
                <w:szCs w:val="24"/>
              </w:rPr>
              <w:t>（该虚拟仿真实验教学课程的实验</w:t>
            </w:r>
            <w:r>
              <w:rPr>
                <w:rFonts w:ascii="Times New Roman" w:hAnsi="Times New Roman" w:eastAsia="仿宋_GB2312"/>
                <w:sz w:val="24"/>
                <w:szCs w:val="24"/>
              </w:rPr>
              <w:t>设计、</w:t>
            </w:r>
            <w:r>
              <w:rPr>
                <w:rFonts w:hint="eastAsia" w:ascii="Times New Roman" w:hAnsi="Times New Roman" w:eastAsia="仿宋_GB2312"/>
                <w:sz w:val="24"/>
                <w:szCs w:val="24"/>
              </w:rPr>
              <w:t>教学方法、评价体系等方面</w:t>
            </w:r>
            <w:r>
              <w:rPr>
                <w:rFonts w:ascii="Times New Roman" w:hAnsi="Times New Roman" w:eastAsia="仿宋_GB2312"/>
                <w:sz w:val="24"/>
                <w:szCs w:val="24"/>
              </w:rPr>
              <w:t>的特色</w:t>
            </w:r>
            <w:r>
              <w:rPr>
                <w:rFonts w:hint="eastAsia" w:ascii="Times New Roman" w:hAnsi="Times New Roman" w:eastAsia="仿宋_GB2312"/>
                <w:sz w:val="24"/>
                <w:szCs w:val="24"/>
              </w:rPr>
              <w:t>，限800字以内）</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实验设计特色：</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以滚动轴承（型号6207）为研究对象，利用UGNX软件对其进行三维建模。通过设定材料特性、物理属性、3D网格划分、边界条件设定和承载区不同载荷的施加等操作，对滚动轴承进行有限元仿真。从而得到不同载荷作用下滚动体、轴承内外圈的VonMises应力和应变情况。基于仿真数据得出研究结论：同一载荷作用下轴承内圈上的应力、应变值依次高于滚动体和外圈上的应力、应变值；同一元件在相同增量载荷的作用下，应力值和应变值成线性增长关系；同一元件相邻应力和应变差值随着载荷增大而增大，增长速度与载荷增长成正比；滚动体应力、应变的大小与滚动体所处的位置有关。在此基础上对仿真结果进行分析讨论与赫兹接触应力和滚动轴承工作情况理论分析相符。此研究结论为轴承元件失效、刚度变形、旋转精度等问题提供了理论依据。</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教学方法：</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将研究滚动轴承应力、应变实验，转化为虚拟仿真实验。不但教给学生三维软件、仿真工具的使用；还教给学生工程分析的方法与手段，提升了学生解决实际工程问题的能力。同时培养学生变量思维，研究问题的方法与学术思想。</w:t>
            </w:r>
            <w:r>
              <w:rPr>
                <w:rFonts w:ascii="仿宋" w:hAnsi="仿宋" w:eastAsia="仿宋"/>
                <w:sz w:val="24"/>
                <w:szCs w:val="24"/>
              </w:rPr>
              <w:t xml:space="preserve"> </w:t>
            </w:r>
          </w:p>
          <w:p>
            <w:pPr>
              <w:spacing w:line="288" w:lineRule="auto"/>
              <w:ind w:firstLine="480" w:firstLineChars="200"/>
              <w:jc w:val="left"/>
              <w:rPr>
                <w:rFonts w:ascii="仿宋" w:hAnsi="仿宋" w:eastAsia="仿宋"/>
                <w:sz w:val="24"/>
                <w:szCs w:val="24"/>
              </w:rPr>
            </w:pPr>
            <w:r>
              <w:rPr>
                <w:rFonts w:hint="eastAsia" w:ascii="仿宋" w:hAnsi="仿宋" w:eastAsia="仿宋"/>
                <w:sz w:val="24"/>
                <w:szCs w:val="24"/>
              </w:rPr>
              <w:t>评价体系：</w:t>
            </w:r>
          </w:p>
          <w:p>
            <w:pPr>
              <w:spacing w:line="288" w:lineRule="auto"/>
              <w:ind w:firstLine="480" w:firstLineChars="200"/>
              <w:jc w:val="left"/>
              <w:rPr>
                <w:rFonts w:ascii="仿宋_GB2312" w:hAnsi="仿宋" w:eastAsia="仿宋_GB2312"/>
                <w:sz w:val="24"/>
                <w:szCs w:val="24"/>
              </w:rPr>
            </w:pPr>
            <w:r>
              <w:rPr>
                <w:rFonts w:hint="eastAsia" w:ascii="仿宋" w:hAnsi="仿宋" w:eastAsia="仿宋"/>
                <w:sz w:val="24"/>
                <w:szCs w:val="24"/>
              </w:rPr>
              <w:t>评价体系主要包括学生的操作成绩和报告成绩。操作成绩根据实验步骤设定了相应的分值，占整个实验90%的成绩，报告成绩占10%。更加侧重学生的操作过程。</w:t>
            </w:r>
          </w:p>
        </w:tc>
      </w:tr>
    </w:tbl>
    <w:p>
      <w:pPr>
        <w:spacing w:line="416" w:lineRule="auto"/>
        <w:jc w:val="left"/>
        <w:rPr>
          <w:rFonts w:ascii="黑体" w:hAnsi="黑体" w:eastAsia="黑体" w:cs="Times New Roman"/>
          <w:bCs/>
          <w:sz w:val="28"/>
        </w:rPr>
      </w:pPr>
      <w:r>
        <w:rPr>
          <w:rFonts w:hint="eastAsia" w:ascii="黑体" w:hAnsi="黑体" w:eastAsia="黑体" w:cs="Times New Roman"/>
          <w:bCs/>
          <w:sz w:val="28"/>
        </w:rPr>
        <w:t>5.实验教学在线支持与服务</w:t>
      </w:r>
    </w:p>
    <w:tbl>
      <w:tblPr>
        <w:tblStyle w:val="8"/>
        <w:tblW w:w="8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8268" w:type="dxa"/>
          </w:tcPr>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（1）</w:t>
            </w:r>
            <w:r>
              <w:rPr>
                <w:rFonts w:ascii="Times New Roman" w:hAnsi="Times New Roman" w:eastAsia="仿宋_GB2312"/>
                <w:sz w:val="24"/>
                <w:szCs w:val="24"/>
              </w:rPr>
              <w:t>教学</w:t>
            </w:r>
            <w:r>
              <w:rPr>
                <w:rFonts w:hint="eastAsia" w:ascii="Times New Roman" w:hAnsi="Times New Roman" w:eastAsia="仿宋_GB2312"/>
                <w:sz w:val="24"/>
                <w:szCs w:val="24"/>
              </w:rPr>
              <w:t>指导资源：■教学</w:t>
            </w:r>
            <w:r>
              <w:rPr>
                <w:rFonts w:ascii="Times New Roman" w:hAnsi="Times New Roman" w:eastAsia="仿宋_GB2312"/>
                <w:sz w:val="24"/>
                <w:szCs w:val="24"/>
              </w:rPr>
              <w:t>指导书</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教学视频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电子教材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课程</w:t>
            </w:r>
            <w:r>
              <w:rPr>
                <w:rFonts w:ascii="Times New Roman" w:hAnsi="Times New Roman" w:eastAsia="仿宋_GB2312"/>
                <w:sz w:val="24"/>
                <w:szCs w:val="24"/>
              </w:rPr>
              <w:t>教案</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（申报系统上传）</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课件（演示文稿）</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（2）实验指导</w:t>
            </w:r>
            <w:r>
              <w:rPr>
                <w:rFonts w:ascii="Times New Roman" w:hAnsi="Times New Roman" w:eastAsia="仿宋_GB2312"/>
                <w:sz w:val="24"/>
                <w:szCs w:val="24"/>
              </w:rPr>
              <w:t>资源</w:t>
            </w:r>
            <w:r>
              <w:rPr>
                <w:rFonts w:hint="eastAsia" w:ascii="Times New Roman" w:hAnsi="Times New Roman" w:eastAsia="仿宋_GB2312"/>
                <w:sz w:val="24"/>
                <w:szCs w:val="24"/>
              </w:rPr>
              <w:t>：</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实验</w:t>
            </w:r>
            <w:r>
              <w:rPr>
                <w:rFonts w:ascii="Times New Roman" w:hAnsi="Times New Roman" w:eastAsia="仿宋_GB2312"/>
                <w:sz w:val="24"/>
                <w:szCs w:val="24"/>
              </w:rPr>
              <w:t>指导书</w:t>
            </w:r>
            <w:r>
              <w:rPr>
                <w:rFonts w:hint="eastAsia" w:ascii="Times New Roman" w:hAnsi="Times New Roman" w:eastAsia="仿宋_GB2312"/>
                <w:sz w:val="24"/>
                <w:szCs w:val="24"/>
              </w:rPr>
              <w:t xml:space="preserve"> ■操作视频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知识</w:t>
            </w:r>
            <w:r>
              <w:rPr>
                <w:rFonts w:ascii="Times New Roman" w:hAnsi="Times New Roman" w:eastAsia="仿宋_GB2312"/>
                <w:sz w:val="24"/>
                <w:szCs w:val="24"/>
              </w:rPr>
              <w:t>点</w:t>
            </w:r>
            <w:r>
              <w:rPr>
                <w:rFonts w:hint="eastAsia" w:ascii="Times New Roman" w:hAnsi="Times New Roman" w:eastAsia="仿宋_GB2312"/>
                <w:sz w:val="24"/>
                <w:szCs w:val="24"/>
              </w:rPr>
              <w:t>课件</w:t>
            </w:r>
            <w:r>
              <w:rPr>
                <w:rFonts w:ascii="Times New Roman" w:hAnsi="Times New Roman" w:eastAsia="仿宋_GB2312"/>
                <w:sz w:val="24"/>
                <w:szCs w:val="24"/>
              </w:rPr>
              <w:t xml:space="preserve">库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习题库</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（申报系统上传）</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测试卷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考试系统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（3）在线</w:t>
            </w:r>
            <w:r>
              <w:rPr>
                <w:rFonts w:ascii="Times New Roman" w:hAnsi="Times New Roman" w:eastAsia="仿宋_GB2312"/>
                <w:sz w:val="24"/>
                <w:szCs w:val="24"/>
              </w:rPr>
              <w:t>教</w:t>
            </w:r>
            <w:r>
              <w:rPr>
                <w:rFonts w:hint="eastAsia" w:ascii="Times New Roman" w:hAnsi="Times New Roman" w:eastAsia="仿宋_GB2312"/>
                <w:sz w:val="24"/>
                <w:szCs w:val="24"/>
              </w:rPr>
              <w:t>学</w:t>
            </w:r>
            <w:r>
              <w:rPr>
                <w:rFonts w:ascii="Times New Roman" w:hAnsi="Times New Roman" w:eastAsia="仿宋_GB2312"/>
                <w:sz w:val="24"/>
                <w:szCs w:val="24"/>
              </w:rPr>
              <w:t>支持方式：</w:t>
            </w:r>
            <w:r>
              <w:rPr>
                <w:rFonts w:hint="eastAsia" w:ascii="Times New Roman" w:hAnsi="Times New Roman" w:eastAsia="仿宋_GB2312"/>
                <w:sz w:val="24"/>
                <w:szCs w:val="24"/>
              </w:rPr>
              <w:t>■热线</w:t>
            </w:r>
            <w:r>
              <w:rPr>
                <w:rFonts w:ascii="Times New Roman" w:hAnsi="Times New Roman" w:eastAsia="仿宋_GB2312"/>
                <w:sz w:val="24"/>
                <w:szCs w:val="24"/>
              </w:rPr>
              <w:t>电话</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实验</w:t>
            </w:r>
            <w:r>
              <w:rPr>
                <w:rFonts w:ascii="Times New Roman" w:hAnsi="Times New Roman" w:eastAsia="仿宋_GB2312"/>
                <w:sz w:val="24"/>
                <w:szCs w:val="24"/>
              </w:rPr>
              <w:t>系统即时通讯</w:t>
            </w:r>
            <w:r>
              <w:rPr>
                <w:rFonts w:hint="eastAsia" w:ascii="Times New Roman" w:hAnsi="Times New Roman" w:eastAsia="仿宋_GB2312"/>
                <w:sz w:val="24"/>
                <w:szCs w:val="24"/>
              </w:rPr>
              <w:t xml:space="preserve">工具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论坛 </w:t>
            </w:r>
          </w:p>
          <w:p>
            <w:pPr>
              <w:numPr>
                <w:ilvl w:val="255"/>
                <w:numId w:val="0"/>
              </w:numPr>
              <w:spacing w:before="156" w:beforeLines="50" w:line="360" w:lineRule="auto"/>
              <w:ind w:firstLine="2760" w:firstLineChars="1150"/>
              <w:jc w:val="left"/>
              <w:rPr>
                <w:rFonts w:ascii="Times New Roman" w:hAnsi="Times New Roman" w:eastAsia="仿宋_GB2312"/>
                <w:sz w:val="24"/>
                <w:szCs w:val="24"/>
              </w:rPr>
            </w:pP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支持</w:t>
            </w:r>
            <w:r>
              <w:rPr>
                <w:rFonts w:ascii="Times New Roman" w:hAnsi="Times New Roman" w:eastAsia="仿宋_GB2312"/>
                <w:sz w:val="24"/>
                <w:szCs w:val="24"/>
              </w:rPr>
              <w:t xml:space="preserve">与服务群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（4） 5 名提供在线</w:t>
            </w:r>
            <w:r>
              <w:rPr>
                <w:rFonts w:ascii="Times New Roman" w:hAnsi="Times New Roman" w:eastAsia="仿宋_GB2312"/>
                <w:sz w:val="24"/>
                <w:szCs w:val="24"/>
              </w:rPr>
              <w:t>教</w:t>
            </w:r>
            <w:r>
              <w:rPr>
                <w:rFonts w:hint="eastAsia" w:ascii="Times New Roman" w:hAnsi="Times New Roman" w:eastAsia="仿宋_GB2312"/>
                <w:sz w:val="24"/>
                <w:szCs w:val="24"/>
              </w:rPr>
              <w:t>学服务的团队成员；3 名提供在线</w:t>
            </w:r>
            <w:r>
              <w:rPr>
                <w:rFonts w:ascii="Times New Roman" w:hAnsi="Times New Roman" w:eastAsia="仿宋_GB2312"/>
                <w:sz w:val="24"/>
                <w:szCs w:val="24"/>
              </w:rPr>
              <w:t>技术</w:t>
            </w:r>
            <w:r>
              <w:rPr>
                <w:rFonts w:hint="eastAsia" w:ascii="Times New Roman" w:hAnsi="Times New Roman" w:eastAsia="仿宋_GB2312"/>
                <w:sz w:val="24"/>
                <w:szCs w:val="24"/>
              </w:rPr>
              <w:t>支持的</w:t>
            </w:r>
            <w:r>
              <w:rPr>
                <w:rFonts w:ascii="Times New Roman" w:hAnsi="Times New Roman" w:eastAsia="仿宋_GB2312"/>
                <w:sz w:val="24"/>
                <w:szCs w:val="24"/>
              </w:rPr>
              <w:t>技术人员</w:t>
            </w:r>
            <w:r>
              <w:rPr>
                <w:rFonts w:hint="eastAsia" w:ascii="Times New Roman" w:hAnsi="Times New Roman" w:eastAsia="仿宋_GB2312"/>
                <w:sz w:val="24"/>
                <w:szCs w:val="24"/>
              </w:rPr>
              <w:t>；教学团队保证工作日期间提供 8小时/日的在线</w:t>
            </w:r>
            <w:r>
              <w:rPr>
                <w:rFonts w:ascii="Times New Roman" w:hAnsi="Times New Roman" w:eastAsia="仿宋_GB2312"/>
                <w:sz w:val="24"/>
                <w:szCs w:val="24"/>
              </w:rPr>
              <w:t>服务</w:t>
            </w:r>
          </w:p>
          <w:p>
            <w:pPr>
              <w:spacing w:before="156" w:beforeLines="50" w:line="288" w:lineRule="auto"/>
              <w:jc w:val="left"/>
              <w:rPr>
                <w:rFonts w:ascii="黑体" w:hAnsi="黑体" w:eastAsia="黑体"/>
                <w:sz w:val="28"/>
                <w:szCs w:val="28"/>
              </w:rPr>
            </w:pPr>
          </w:p>
        </w:tc>
      </w:tr>
    </w:tbl>
    <w:p>
      <w:pPr>
        <w:spacing w:line="416" w:lineRule="auto"/>
        <w:jc w:val="left"/>
        <w:rPr>
          <w:rFonts w:ascii="黑体" w:hAnsi="黑体" w:eastAsia="黑体"/>
          <w:sz w:val="28"/>
          <w:szCs w:val="28"/>
        </w:rPr>
      </w:pPr>
      <w:r>
        <w:rPr>
          <w:rFonts w:hint="eastAsia" w:ascii="黑体" w:hAnsi="黑体" w:eastAsia="黑体" w:cs="Times New Roman"/>
          <w:bCs/>
          <w:sz w:val="28"/>
        </w:rPr>
        <w:t>6.</w:t>
      </w:r>
      <w:r>
        <w:rPr>
          <w:rFonts w:hint="eastAsia" w:ascii="黑体" w:hAnsi="黑体" w:eastAsia="黑体"/>
          <w:sz w:val="28"/>
          <w:szCs w:val="28"/>
        </w:rPr>
        <w:t>实验教学相关网络及</w:t>
      </w:r>
      <w:r>
        <w:rPr>
          <w:rFonts w:ascii="黑体" w:hAnsi="黑体" w:eastAsia="黑体"/>
          <w:sz w:val="28"/>
          <w:szCs w:val="28"/>
        </w:rPr>
        <w:t>安全</w:t>
      </w:r>
      <w:r>
        <w:rPr>
          <w:rFonts w:hint="eastAsia" w:ascii="黑体" w:hAnsi="黑体" w:eastAsia="黑体"/>
          <w:sz w:val="28"/>
          <w:szCs w:val="28"/>
        </w:rPr>
        <w:t>要求描述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6-1网络条件要求</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（1）说明客户端到服务器的带宽要求（需提供测试带宽服务）</w:t>
            </w:r>
          </w:p>
          <w:p>
            <w:pPr>
              <w:spacing w:line="288" w:lineRule="auto"/>
              <w:ind w:firstLine="720" w:firstLineChars="300"/>
              <w:jc w:val="left"/>
              <w:rPr>
                <w:rFonts w:ascii="仿宋_GB2312" w:hAnsi="Times New Roman" w:eastAsia="仿宋_GB2312"/>
                <w:sz w:val="24"/>
                <w:szCs w:val="24"/>
              </w:rPr>
            </w:pPr>
            <w:r>
              <w:rPr>
                <w:rFonts w:hint="eastAsia" w:ascii="仿宋_GB2312" w:hAnsi="Times New Roman" w:eastAsia="仿宋_GB2312"/>
                <w:sz w:val="24"/>
                <w:szCs w:val="24"/>
              </w:rPr>
              <w:t>100兆到桌面</w:t>
            </w:r>
          </w:p>
          <w:p>
            <w:pPr>
              <w:spacing w:line="288" w:lineRule="auto"/>
              <w:jc w:val="left"/>
              <w:rPr>
                <w:rFonts w:ascii="仿宋_GB2312" w:hAnsi="黑体" w:eastAsia="仿宋_GB2312"/>
                <w:sz w:val="24"/>
                <w:szCs w:val="24"/>
              </w:rPr>
            </w:pP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（2）说明能够支持的同时在线人数（需提供在线排队提示服务）</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      3000人</w:t>
            </w:r>
          </w:p>
          <w:p>
            <w:pPr>
              <w:spacing w:line="288" w:lineRule="auto"/>
              <w:jc w:val="left"/>
              <w:rPr>
                <w:rFonts w:ascii="仿宋_GB2312" w:hAnsi="黑体" w:eastAsia="仿宋_GB2312"/>
                <w:sz w:val="24"/>
                <w:szCs w:val="24"/>
              </w:rPr>
            </w:pPr>
            <w:r>
              <w:rPr>
                <w:rFonts w:hint="eastAsia" w:ascii="仿宋_GB2312" w:hAnsi="黑体" w:eastAsia="仿宋_GB2312"/>
                <w:sz w:val="24"/>
                <w:szCs w:val="24"/>
              </w:rPr>
              <w:tab/>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60" w:hRule="atLeast"/>
          <w:jc w:val="center"/>
        </w:trPr>
        <w:tc>
          <w:tcPr>
            <w:tcW w:w="8634"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6-2用户操作系统要求</w:t>
            </w:r>
            <w:r>
              <w:rPr>
                <w:rFonts w:hint="eastAsia" w:ascii="仿宋_GB2312" w:hAnsi="Times New Roman" w:eastAsia="仿宋_GB2312"/>
                <w:sz w:val="24"/>
                <w:szCs w:val="24"/>
              </w:rPr>
              <w:t>（如Windows、Unix、IOS、Android等）</w:t>
            </w:r>
          </w:p>
          <w:p>
            <w:pPr>
              <w:numPr>
                <w:ilvl w:val="0"/>
                <w:numId w:val="5"/>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计算机操作系统和版本要求</w:t>
            </w:r>
          </w:p>
          <w:p>
            <w:pPr>
              <w:spacing w:line="288" w:lineRule="auto"/>
              <w:ind w:left="720"/>
              <w:jc w:val="left"/>
              <w:rPr>
                <w:rFonts w:ascii="仿宋_GB2312" w:hAnsi="Times New Roman" w:eastAsia="仿宋_GB2312"/>
                <w:sz w:val="24"/>
                <w:szCs w:val="24"/>
              </w:rPr>
            </w:pPr>
            <w:r>
              <w:rPr>
                <w:rFonts w:ascii="仿宋_GB2312" w:hAnsi="Times New Roman" w:eastAsia="仿宋_GB2312"/>
                <w:sz w:val="24"/>
                <w:szCs w:val="24"/>
              </w:rPr>
              <w:t>Windows</w:t>
            </w:r>
            <w:r>
              <w:rPr>
                <w:rFonts w:hint="eastAsia" w:ascii="仿宋_GB2312" w:hAnsi="Times New Roman" w:eastAsia="仿宋_GB2312"/>
                <w:sz w:val="24"/>
                <w:szCs w:val="24"/>
              </w:rPr>
              <w:t xml:space="preserve">  64位</w:t>
            </w:r>
          </w:p>
          <w:p>
            <w:pPr>
              <w:spacing w:line="288" w:lineRule="auto"/>
              <w:ind w:left="720"/>
              <w:jc w:val="left"/>
              <w:rPr>
                <w:rFonts w:ascii="仿宋_GB2312" w:hAnsi="Times New Roman" w:eastAsia="仿宋_GB2312"/>
                <w:sz w:val="24"/>
                <w:szCs w:val="24"/>
              </w:rPr>
            </w:pPr>
          </w:p>
          <w:p>
            <w:pPr>
              <w:numPr>
                <w:ilvl w:val="0"/>
                <w:numId w:val="5"/>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其他计算终端操作系统和版本要求</w:t>
            </w:r>
          </w:p>
          <w:p>
            <w:pPr>
              <w:spacing w:line="288" w:lineRule="auto"/>
              <w:ind w:left="720"/>
              <w:jc w:val="left"/>
              <w:rPr>
                <w:rFonts w:ascii="仿宋_GB2312" w:hAnsi="Times New Roman" w:eastAsia="仿宋_GB2312"/>
                <w:sz w:val="24"/>
                <w:szCs w:val="24"/>
              </w:rPr>
            </w:pPr>
            <w:r>
              <w:rPr>
                <w:rFonts w:hint="eastAsia" w:ascii="仿宋_GB2312" w:hAnsi="Times New Roman" w:eastAsia="仿宋_GB2312"/>
                <w:sz w:val="24"/>
                <w:szCs w:val="24"/>
              </w:rPr>
              <w:t>UGNX版本8.0以上</w:t>
            </w:r>
          </w:p>
          <w:p>
            <w:pPr>
              <w:spacing w:line="288" w:lineRule="auto"/>
              <w:jc w:val="left"/>
              <w:rPr>
                <w:rFonts w:ascii="仿宋_GB2312" w:hAnsi="Times New Roman" w:eastAsia="仿宋_GB2312"/>
                <w:sz w:val="24"/>
                <w:szCs w:val="24"/>
              </w:rPr>
            </w:pPr>
          </w:p>
          <w:p>
            <w:pPr>
              <w:numPr>
                <w:ilvl w:val="0"/>
                <w:numId w:val="5"/>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支持移动端：</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仿宋_GB2312" w:eastAsia="仿宋_GB2312" w:hAnsiTheme="majorEastAsia"/>
                <w:sz w:val="24"/>
                <w:szCs w:val="24"/>
              </w:rPr>
              <w:t>●</w:t>
            </w:r>
            <w:r>
              <w:rPr>
                <w:rFonts w:hint="eastAsia" w:ascii="仿宋_GB2312" w:hAnsi="Times New Roman" w:eastAsia="仿宋_GB2312"/>
                <w:sz w:val="24"/>
                <w:szCs w:val="24"/>
              </w:rPr>
              <w:t>否</w:t>
            </w:r>
          </w:p>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7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3</w:t>
            </w:r>
            <w:r>
              <w:rPr>
                <w:rFonts w:hint="eastAsia" w:ascii="黑体" w:hAnsi="黑体" w:eastAsia="黑体"/>
                <w:sz w:val="24"/>
                <w:szCs w:val="24"/>
              </w:rPr>
              <w:t>用户非操作系统软件配置要求</w:t>
            </w:r>
            <w:r>
              <w:rPr>
                <w:rFonts w:hint="eastAsia" w:ascii="Times New Roman" w:hAnsi="Times New Roman" w:eastAsia="仿宋_GB2312"/>
                <w:sz w:val="24"/>
                <w:szCs w:val="24"/>
              </w:rPr>
              <w:t>（兼容至少2种及以上主流浏览器）</w:t>
            </w:r>
          </w:p>
          <w:p>
            <w:pPr>
              <w:spacing w:line="360" w:lineRule="auto"/>
              <w:jc w:val="left"/>
              <w:rPr>
                <w:rFonts w:ascii="黑体" w:hAnsi="黑体" w:eastAsia="黑体"/>
                <w:sz w:val="24"/>
                <w:szCs w:val="24"/>
              </w:rPr>
            </w:pPr>
            <w:r>
              <w:rPr>
                <w:rFonts w:hint="eastAsia" w:ascii="Times New Roman" w:hAnsi="Times New Roman" w:eastAsia="仿宋_GB2312"/>
                <w:sz w:val="24"/>
                <w:szCs w:val="24"/>
              </w:rPr>
              <w:t>（1）非操作</w:t>
            </w:r>
            <w:r>
              <w:rPr>
                <w:rFonts w:ascii="Times New Roman" w:hAnsi="Times New Roman" w:eastAsia="仿宋_GB2312"/>
                <w:sz w:val="24"/>
                <w:szCs w:val="24"/>
              </w:rPr>
              <w:t>系统软件要求（</w:t>
            </w:r>
            <w:r>
              <w:rPr>
                <w:rFonts w:hint="eastAsia" w:ascii="Times New Roman" w:hAnsi="Times New Roman" w:eastAsia="仿宋_GB2312"/>
                <w:sz w:val="24"/>
                <w:szCs w:val="24"/>
              </w:rPr>
              <w:t>支持2种</w:t>
            </w:r>
            <w:r>
              <w:rPr>
                <w:rFonts w:ascii="Times New Roman" w:hAnsi="Times New Roman" w:eastAsia="仿宋_GB2312"/>
                <w:sz w:val="24"/>
                <w:szCs w:val="24"/>
              </w:rPr>
              <w:t>及</w:t>
            </w:r>
            <w:r>
              <w:rPr>
                <w:rFonts w:hint="eastAsia" w:ascii="Times New Roman" w:hAnsi="Times New Roman" w:eastAsia="仿宋_GB2312"/>
                <w:sz w:val="24"/>
                <w:szCs w:val="24"/>
              </w:rPr>
              <w:t>以上</w:t>
            </w:r>
            <w:r>
              <w:rPr>
                <w:rFonts w:ascii="Times New Roman" w:hAnsi="Times New Roman" w:eastAsia="仿宋_GB2312"/>
                <w:sz w:val="24"/>
                <w:szCs w:val="24"/>
              </w:rPr>
              <w:t>主流浏览器）</w:t>
            </w:r>
          </w:p>
          <w:p>
            <w:pPr>
              <w:spacing w:line="360" w:lineRule="auto"/>
              <w:ind w:left="360"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■谷歌</w:t>
            </w:r>
            <w:r>
              <w:rPr>
                <w:rFonts w:ascii="Times New Roman" w:hAnsi="Times New Roman" w:eastAsia="仿宋_GB2312"/>
                <w:sz w:val="24"/>
                <w:szCs w:val="24"/>
              </w:rPr>
              <w:t>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IE浏览器 ■360浏览器 </w:t>
            </w:r>
            <w:r>
              <w:rPr>
                <w:rFonts w:hint="eastAsia" w:ascii="Times New Roman" w:hAnsi="Times New Roman" w:eastAsia="仿宋_GB2312"/>
                <w:sz w:val="24"/>
                <w:szCs w:val="24"/>
              </w:rPr>
              <w:sym w:font="Wingdings 2" w:char="00A3"/>
            </w:r>
            <w:r>
              <w:rPr>
                <w:rFonts w:ascii="Times New Roman" w:hAnsi="Times New Roman" w:eastAsia="仿宋_GB2312"/>
                <w:sz w:val="24"/>
                <w:szCs w:val="24"/>
              </w:rPr>
              <w:t>火狐浏览器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其他 </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（2）需要特定插件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否</w:t>
            </w:r>
          </w:p>
          <w:p>
            <w:pPr>
              <w:spacing w:line="360" w:lineRule="auto"/>
              <w:ind w:firstLine="240" w:firstLineChars="1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如勾选“是”，请填写：</w:t>
            </w:r>
          </w:p>
          <w:p>
            <w:pPr>
              <w:spacing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 xml:space="preserve"> 插件名称：（插件全称）</w:t>
            </w:r>
          </w:p>
          <w:p>
            <w:pPr>
              <w:pStyle w:val="14"/>
              <w:spacing w:line="360" w:lineRule="auto"/>
              <w:ind w:left="360" w:firstLine="0" w:firstLineChars="0"/>
              <w:jc w:val="left"/>
              <w:rPr>
                <w:rFonts w:ascii="Times New Roman" w:hAnsi="Times New Roman" w:eastAsia="仿宋_GB2312"/>
                <w:sz w:val="24"/>
                <w:szCs w:val="24"/>
              </w:rPr>
            </w:pPr>
            <w:r>
              <w:rPr>
                <w:rFonts w:hint="eastAsia" w:ascii="Times New Roman" w:hAnsi="Times New Roman" w:eastAsia="仿宋_GB2312"/>
                <w:sz w:val="24"/>
                <w:szCs w:val="24"/>
              </w:rPr>
              <w:t xml:space="preserve"> 插件容量：M</w:t>
            </w:r>
          </w:p>
          <w:p>
            <w:pPr>
              <w:spacing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 xml:space="preserve"> 下载链接：</w:t>
            </w:r>
          </w:p>
          <w:p>
            <w:pPr>
              <w:spacing w:line="288" w:lineRule="auto"/>
              <w:ind w:left="120"/>
              <w:jc w:val="left"/>
              <w:rPr>
                <w:rFonts w:ascii="Times New Roman" w:hAnsi="Times New Roman" w:eastAsia="仿宋_GB2312"/>
                <w:sz w:val="24"/>
                <w:szCs w:val="24"/>
              </w:rPr>
            </w:pPr>
            <w:r>
              <w:rPr>
                <w:rFonts w:hint="eastAsia" w:ascii="Times New Roman" w:hAnsi="Times New Roman" w:eastAsia="仿宋_GB2312"/>
                <w:sz w:val="24"/>
                <w:szCs w:val="24"/>
              </w:rPr>
              <w:t>（3）其他计算终端非操作系统软件配置要求（需说明是否可提供相关软件下载服务）</w:t>
            </w:r>
          </w:p>
          <w:p>
            <w:pPr>
              <w:spacing w:line="288" w:lineRule="auto"/>
              <w:ind w:left="840"/>
              <w:jc w:val="left"/>
              <w:rPr>
                <w:rFonts w:ascii="黑体" w:hAnsi="黑体" w:eastAsia="黑体"/>
                <w:sz w:val="24"/>
                <w:szCs w:val="24"/>
              </w:rPr>
            </w:pPr>
          </w:p>
          <w:p>
            <w:pPr>
              <w:spacing w:line="288" w:lineRule="auto"/>
              <w:ind w:left="840"/>
              <w:jc w:val="left"/>
              <w:rPr>
                <w:rFonts w:ascii="黑体" w:hAnsi="黑体" w:eastAsia="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0"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4</w:t>
            </w:r>
            <w:r>
              <w:rPr>
                <w:rFonts w:hint="eastAsia" w:ascii="黑体" w:hAnsi="黑体" w:eastAsia="黑体"/>
                <w:sz w:val="24"/>
                <w:szCs w:val="24"/>
              </w:rPr>
              <w:t>用户硬件配置要求</w:t>
            </w:r>
            <w:r>
              <w:rPr>
                <w:rFonts w:hint="eastAsia" w:ascii="Times New Roman" w:hAnsi="Times New Roman" w:eastAsia="仿宋_GB2312"/>
                <w:sz w:val="24"/>
                <w:szCs w:val="24"/>
              </w:rPr>
              <w:t>（如主频、内存、显存、存储容量等）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（1）计算机硬件配置要求</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主频 3.4GHZ  内存：16GB   显存：6G   存储容量：1TB</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（2）其他计算终端硬件配置要求</w:t>
            </w:r>
          </w:p>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主频 3.4GHZ  内存：16GB   显存：6G   存储容量：1TB</w:t>
            </w:r>
          </w:p>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5</w:t>
            </w:r>
            <w:r>
              <w:rPr>
                <w:rFonts w:hint="eastAsia" w:ascii="黑体" w:hAnsi="黑体" w:eastAsia="黑体"/>
                <w:sz w:val="24"/>
                <w:szCs w:val="24"/>
              </w:rPr>
              <w:t>用户特殊外置硬件要求</w:t>
            </w:r>
            <w:r>
              <w:rPr>
                <w:rFonts w:hint="eastAsia" w:ascii="Times New Roman" w:hAnsi="Times New Roman" w:eastAsia="仿宋_GB2312"/>
                <w:sz w:val="24"/>
                <w:szCs w:val="24"/>
              </w:rPr>
              <w:t>（如可穿戴设备等）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（1）计算机特殊外置硬件要求</w:t>
            </w:r>
          </w:p>
          <w:p>
            <w:pPr>
              <w:spacing w:line="288" w:lineRule="auto"/>
              <w:jc w:val="left"/>
              <w:rPr>
                <w:rFonts w:ascii="Times New Roman" w:hAnsi="Times New Roman" w:eastAsia="仿宋_GB2312"/>
                <w:sz w:val="24"/>
                <w:szCs w:val="24"/>
              </w:rPr>
            </w:pPr>
            <w:r>
              <w:rPr>
                <w:rFonts w:ascii="Times New Roman" w:hAnsi="Times New Roman" w:eastAsia="仿宋_GB2312"/>
                <w:sz w:val="24"/>
                <w:szCs w:val="24"/>
              </w:rPr>
              <w:tab/>
            </w:r>
            <w:r>
              <w:rPr>
                <w:rFonts w:hint="eastAsia" w:ascii="Times New Roman" w:hAnsi="Times New Roman" w:eastAsia="仿宋_GB2312"/>
                <w:sz w:val="24"/>
                <w:szCs w:val="24"/>
              </w:rPr>
              <w:t>无</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（2）其他计算终端特殊外置硬件要求：</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无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有</w:t>
            </w:r>
          </w:p>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如勾选“有”，请填写其他计算终端特殊外置硬件要求：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3"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 xml:space="preserve">-6 </w:t>
            </w:r>
            <w:r>
              <w:rPr>
                <w:rFonts w:hint="eastAsia" w:ascii="黑体" w:hAnsi="黑体" w:eastAsia="黑体"/>
                <w:sz w:val="24"/>
                <w:szCs w:val="24"/>
              </w:rPr>
              <w:t>网络</w:t>
            </w:r>
            <w:r>
              <w:rPr>
                <w:rFonts w:ascii="黑体" w:hAnsi="黑体" w:eastAsia="黑体"/>
                <w:sz w:val="24"/>
                <w:szCs w:val="24"/>
              </w:rPr>
              <w:t>安全</w:t>
            </w:r>
            <w:r>
              <w:rPr>
                <w:rFonts w:hint="eastAsia" w:ascii="黑体" w:hAnsi="黑体" w:eastAsia="黑体"/>
                <w:sz w:val="24"/>
                <w:szCs w:val="24"/>
              </w:rPr>
              <w:t>（</w:t>
            </w:r>
            <w:r>
              <w:rPr>
                <w:rFonts w:hint="eastAsia" w:ascii="Times New Roman" w:hAnsi="Times New Roman" w:eastAsia="仿宋_GB2312"/>
                <w:sz w:val="24"/>
                <w:szCs w:val="24"/>
              </w:rPr>
              <w:t>实验系统要求完成国家信息安全等级二级认证</w:t>
            </w:r>
            <w:r>
              <w:rPr>
                <w:rFonts w:hint="eastAsia" w:ascii="黑体" w:hAnsi="黑体" w:eastAsia="黑体"/>
                <w:sz w:val="24"/>
                <w:szCs w:val="24"/>
              </w:rPr>
              <w:t>）</w:t>
            </w:r>
          </w:p>
          <w:p>
            <w:pPr>
              <w:pStyle w:val="14"/>
              <w:numPr>
                <w:ilvl w:val="0"/>
                <w:numId w:val="6"/>
              </w:numPr>
              <w:spacing w:line="288" w:lineRule="auto"/>
              <w:ind w:firstLineChars="0"/>
              <w:jc w:val="left"/>
              <w:rPr>
                <w:rFonts w:ascii="Times New Roman" w:hAnsi="Times New Roman" w:eastAsia="仿宋_GB2312"/>
                <w:sz w:val="24"/>
                <w:szCs w:val="24"/>
                <w:u w:val="single"/>
              </w:rPr>
            </w:pPr>
            <w:r>
              <w:rPr>
                <w:rFonts w:ascii="Times New Roman" w:hAnsi="Times New Roman" w:eastAsia="仿宋_GB2312"/>
                <w:sz w:val="24"/>
                <w:szCs w:val="24"/>
              </w:rPr>
              <w:t>证书编号：</w:t>
            </w: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p>
            <w:pPr>
              <w:pStyle w:val="14"/>
              <w:numPr>
                <w:ilvl w:val="0"/>
                <w:numId w:val="6"/>
              </w:numPr>
              <w:spacing w:line="288" w:lineRule="auto"/>
              <w:ind w:firstLineChars="0"/>
              <w:jc w:val="left"/>
              <w:rPr>
                <w:rFonts w:ascii="Times New Roman" w:hAnsi="Times New Roman" w:eastAsia="仿宋_GB2312"/>
                <w:sz w:val="24"/>
                <w:szCs w:val="24"/>
              </w:rPr>
            </w:pPr>
            <w:r>
              <w:rPr>
                <w:rFonts w:hint="eastAsia" w:ascii="Times New Roman" w:hAnsi="Times New Roman" w:eastAsia="仿宋_GB2312"/>
                <w:sz w:val="24"/>
                <w:szCs w:val="24"/>
              </w:rPr>
              <w:t>请附</w:t>
            </w:r>
            <w:r>
              <w:rPr>
                <w:rFonts w:ascii="Times New Roman" w:hAnsi="Times New Roman" w:eastAsia="仿宋_GB2312"/>
                <w:sz w:val="24"/>
                <w:szCs w:val="24"/>
              </w:rPr>
              <w:t>信息系统安全等级保护备案证明</w:t>
            </w: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p>
            <w:pPr>
              <w:pStyle w:val="14"/>
              <w:spacing w:line="288" w:lineRule="auto"/>
              <w:ind w:firstLine="0" w:firstLineChars="0"/>
              <w:jc w:val="left"/>
              <w:rPr>
                <w:rFonts w:ascii="Times New Roman" w:hAnsi="Times New Roman" w:eastAsia="仿宋_GB2312"/>
                <w:sz w:val="24"/>
                <w:szCs w:val="24"/>
              </w:rPr>
            </w:pPr>
          </w:p>
        </w:tc>
      </w:tr>
    </w:tbl>
    <w:p>
      <w:pPr>
        <w:spacing w:line="416" w:lineRule="auto"/>
        <w:jc w:val="left"/>
        <w:rPr>
          <w:rFonts w:ascii="黑体" w:hAnsi="黑体" w:eastAsia="黑体" w:cs="Times New Roman"/>
          <w:bCs/>
          <w:sz w:val="28"/>
        </w:rPr>
      </w:pPr>
      <w:r>
        <w:rPr>
          <w:rFonts w:hint="eastAsia" w:ascii="黑体" w:hAnsi="黑体" w:eastAsia="黑体" w:cs="Times New Roman"/>
          <w:bCs/>
          <w:sz w:val="28"/>
        </w:rPr>
        <w:t>7.实验教学技术架构及主要研发技术</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77"/>
        <w:gridCol w:w="2854"/>
        <w:gridCol w:w="4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7"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指标</w:t>
            </w:r>
          </w:p>
        </w:tc>
        <w:tc>
          <w:tcPr>
            <w:tcW w:w="4803" w:type="dxa"/>
            <w:vAlign w:val="center"/>
          </w:tcPr>
          <w:p>
            <w:pPr>
              <w:spacing w:line="288" w:lineRule="auto"/>
              <w:jc w:val="center"/>
              <w:rPr>
                <w:rFonts w:ascii="黑体" w:hAnsi="黑体" w:eastAsia="黑体"/>
                <w:sz w:val="24"/>
                <w:szCs w:val="24"/>
              </w:rPr>
            </w:pPr>
            <w:r>
              <w:rPr>
                <w:rFonts w:hint="eastAsia" w:ascii="黑体" w:hAnsi="黑体" w:eastAsia="黑体"/>
                <w:sz w:val="24"/>
                <w:szCs w:val="24"/>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系统架构图及简要说明</w:t>
            </w:r>
          </w:p>
        </w:tc>
        <w:tc>
          <w:tcPr>
            <w:tcW w:w="4803" w:type="dxa"/>
          </w:tcPr>
          <w:p>
            <w:pPr>
              <w:spacing w:line="288" w:lineRule="auto"/>
              <w:jc w:val="center"/>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1" w:hRule="atLeast"/>
          <w:jc w:val="center"/>
        </w:trPr>
        <w:tc>
          <w:tcPr>
            <w:tcW w:w="977" w:type="dxa"/>
            <w:vMerge w:val="restart"/>
            <w:vAlign w:val="center"/>
          </w:tcPr>
          <w:p>
            <w:pPr>
              <w:spacing w:line="288" w:lineRule="auto"/>
              <w:jc w:val="center"/>
              <w:rPr>
                <w:rFonts w:ascii="黑体" w:hAnsi="黑体" w:eastAsia="黑体"/>
                <w:sz w:val="24"/>
                <w:szCs w:val="24"/>
              </w:rPr>
            </w:pPr>
            <w:r>
              <w:rPr>
                <w:rFonts w:hint="eastAsia" w:ascii="黑体" w:hAnsi="黑体" w:eastAsia="黑体"/>
                <w:sz w:val="24"/>
                <w:szCs w:val="24"/>
              </w:rPr>
              <w:t>实验</w:t>
            </w:r>
          </w:p>
          <w:p>
            <w:pPr>
              <w:spacing w:line="288" w:lineRule="auto"/>
              <w:jc w:val="center"/>
              <w:rPr>
                <w:rFonts w:ascii="黑体" w:hAnsi="黑体" w:eastAsia="黑体"/>
                <w:sz w:val="24"/>
                <w:szCs w:val="24"/>
              </w:rPr>
            </w:pPr>
            <w:r>
              <w:rPr>
                <w:rFonts w:hint="eastAsia" w:ascii="黑体" w:hAnsi="黑体" w:eastAsia="黑体"/>
                <w:sz w:val="24"/>
                <w:szCs w:val="24"/>
              </w:rPr>
              <w:t>教学</w:t>
            </w: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开发技术</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VR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AR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MR ■3D仿真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二维动画</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HTML5</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开发工具</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Unity3D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3D Studio Max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Maya</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ZBrush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SketchUp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Adobe Flash</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Unreal Development Kit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Animate CC</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Blender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Visual Studio</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5"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运行</w:t>
            </w:r>
            <w:r>
              <w:rPr>
                <w:rFonts w:ascii="Times New Roman" w:hAnsi="Times New Roman" w:eastAsia="仿宋_GB2312"/>
                <w:sz w:val="24"/>
                <w:szCs w:val="24"/>
              </w:rPr>
              <w:t>环境</w:t>
            </w:r>
          </w:p>
        </w:tc>
        <w:tc>
          <w:tcPr>
            <w:tcW w:w="4803" w:type="dxa"/>
            <w:vAlign w:val="center"/>
          </w:tcPr>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服务器</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CPU  核、内存  GB、磁盘  GB、</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显存  GB、GPU型号</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操作系统</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■Windows Server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Linux</w:t>
            </w:r>
            <w:r>
              <w:rPr>
                <w:rFonts w:ascii="仿宋_GB2312" w:hAnsi="Times New Roman" w:eastAsia="仿宋_GB2312"/>
                <w:sz w:val="24"/>
                <w:szCs w:val="24"/>
              </w:rPr>
              <w:t xml:space="preserve">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p>
            <w:pPr>
              <w:spacing w:line="288" w:lineRule="auto"/>
              <w:jc w:val="left"/>
              <w:rPr>
                <w:rFonts w:ascii="仿宋_GB2312" w:hAnsi="Times New Roman" w:eastAsia="仿宋_GB2312"/>
                <w:sz w:val="24"/>
                <w:szCs w:val="24"/>
                <w:u w:val="single"/>
              </w:rPr>
            </w:pPr>
            <w:r>
              <w:rPr>
                <w:rFonts w:hint="eastAsia" w:ascii="仿宋_GB2312" w:hAnsi="Times New Roman" w:eastAsia="仿宋_GB2312"/>
                <w:sz w:val="24"/>
                <w:szCs w:val="24"/>
              </w:rPr>
              <w:t>具体版本：</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数据库</w:t>
            </w:r>
          </w:p>
          <w:p>
            <w:pPr>
              <w:spacing w:line="288" w:lineRule="auto"/>
              <w:jc w:val="left"/>
              <w:rPr>
                <w:rFonts w:ascii="仿宋_GB2312" w:hAnsi="Times New Roman" w:eastAsia="仿宋_GB2312"/>
                <w:sz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rPr>
              <w:t xml:space="preserve">Mysql </w:t>
            </w:r>
            <w:r>
              <w:rPr>
                <w:rFonts w:hint="eastAsia" w:ascii="仿宋_GB2312" w:hAnsi="Times New Roman" w:eastAsia="仿宋_GB2312"/>
                <w:sz w:val="24"/>
                <w:szCs w:val="24"/>
              </w:rPr>
              <w:sym w:font="Wingdings 2" w:char="00A3"/>
            </w:r>
            <w:r>
              <w:rPr>
                <w:rFonts w:hint="eastAsia" w:ascii="仿宋_GB2312" w:hAnsi="Times New Roman" w:eastAsia="仿宋_GB2312"/>
                <w:sz w:val="24"/>
              </w:rPr>
              <w:t xml:space="preserve">SQL Server </w:t>
            </w:r>
            <w:r>
              <w:rPr>
                <w:rFonts w:hint="eastAsia" w:ascii="仿宋_GB2312" w:hAnsi="Times New Roman" w:eastAsia="仿宋_GB2312"/>
                <w:sz w:val="24"/>
                <w:szCs w:val="24"/>
              </w:rPr>
              <w:sym w:font="Wingdings 2" w:char="00A3"/>
            </w:r>
            <w:r>
              <w:rPr>
                <w:rFonts w:hint="eastAsia" w:ascii="仿宋_GB2312" w:hAnsi="Times New Roman" w:eastAsia="仿宋_GB2312"/>
                <w:sz w:val="24"/>
              </w:rPr>
              <w:t>Oracle</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rPr>
              <w:t>其他</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备注说明</w:t>
            </w:r>
            <w:r>
              <w:rPr>
                <w:rFonts w:hint="eastAsia" w:ascii="仿宋_GB2312" w:hAnsi="Times New Roman" w:eastAsia="仿宋_GB2312"/>
                <w:sz w:val="24"/>
                <w:szCs w:val="24"/>
              </w:rPr>
              <w:t xml:space="preserve">（需要其他硬件设备或服务器数量多于1台时请说明）          </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是否支持云渲染</w:t>
            </w:r>
            <w:r>
              <w:rPr>
                <w:rFonts w:hint="eastAsia" w:ascii="仿宋_GB2312" w:hAnsi="Times New Roman" w:eastAsia="仿宋_GB2312"/>
                <w:sz w:val="24"/>
                <w:szCs w:val="24"/>
              </w:rPr>
              <w:t>：</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仿宋_GB2312" w:eastAsia="仿宋_GB2312" w:hAnsiTheme="majorEastAsia"/>
                <w:sz w:val="24"/>
                <w:szCs w:val="24"/>
              </w:rPr>
              <w:t>○</w:t>
            </w:r>
            <w:r>
              <w:rPr>
                <w:rFonts w:hint="eastAsia" w:ascii="仿宋_GB2312" w:hAnsi="Times New Roman" w:eastAsia="仿宋_GB2312"/>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rPr>
                <w:rFonts w:ascii="Times New Roman" w:hAnsi="Times New Roman" w:eastAsia="仿宋_GB2312"/>
                <w:sz w:val="24"/>
                <w:szCs w:val="24"/>
              </w:rPr>
            </w:pPr>
            <w:r>
              <w:rPr>
                <w:rFonts w:hint="eastAsia" w:ascii="Times New Roman" w:hAnsi="Times New Roman" w:eastAsia="仿宋_GB2312"/>
                <w:sz w:val="24"/>
                <w:szCs w:val="24"/>
              </w:rPr>
              <w:t>实验品质（如：单场景模型总面数、贴图分辨率、每帧渲染次数、动作反馈时间、显示刷新率、分辨率等）</w:t>
            </w:r>
          </w:p>
        </w:tc>
        <w:tc>
          <w:tcPr>
            <w:tcW w:w="4803" w:type="dxa"/>
            <w:vAlign w:val="center"/>
          </w:tcPr>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p>
            <w:pPr>
              <w:pStyle w:val="14"/>
              <w:spacing w:line="288" w:lineRule="auto"/>
              <w:ind w:firstLine="0" w:firstLineChars="0"/>
              <w:jc w:val="left"/>
              <w:rPr>
                <w:rFonts w:ascii="黑体" w:hAnsi="黑体" w:eastAsia="黑体"/>
                <w:sz w:val="24"/>
                <w:szCs w:val="24"/>
              </w:rPr>
            </w:pPr>
          </w:p>
        </w:tc>
      </w:tr>
    </w:tbl>
    <w:p>
      <w:pPr>
        <w:spacing w:line="416" w:lineRule="auto"/>
        <w:jc w:val="left"/>
        <w:rPr>
          <w:rFonts w:ascii="黑体" w:hAnsi="黑体" w:eastAsia="黑体" w:cs="Times New Roman"/>
          <w:bCs/>
          <w:sz w:val="28"/>
        </w:rPr>
      </w:pPr>
    </w:p>
    <w:p>
      <w:pPr>
        <w:spacing w:line="416" w:lineRule="auto"/>
        <w:jc w:val="left"/>
        <w:rPr>
          <w:rFonts w:ascii="黑体" w:hAnsi="黑体" w:eastAsia="黑体" w:cs="Times New Roman"/>
          <w:bCs/>
          <w:sz w:val="28"/>
          <w:highlight w:val="yellow"/>
        </w:rPr>
      </w:pPr>
      <w:r>
        <w:rPr>
          <w:rFonts w:hint="eastAsia" w:ascii="黑体" w:hAnsi="黑体" w:eastAsia="黑体" w:cs="Times New Roman"/>
          <w:bCs/>
          <w:sz w:val="28"/>
        </w:rPr>
        <w:t>8.实验教学课程持续建设服务计划</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9" w:hRule="atLeast"/>
          <w:jc w:val="center"/>
        </w:trPr>
        <w:tc>
          <w:tcPr>
            <w:tcW w:w="86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（本实验教学课程今后5年继续向高校和社会开放服务计划及预计服务人数）</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（1）课程持续建设</w:t>
            </w:r>
          </w:p>
          <w:tbl>
            <w:tblPr>
              <w:tblStyle w:val="8"/>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64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第一年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向校内机械设计制造及其自动化专业学生开设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向校内机械设计制造及其自动化专业学生开设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三年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向其他高校机械设计制造及其自动化专业学生开设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四年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向其他高校机械设计制造及其自动化专业学生开设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向社会专业人士开放</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（2）面向高校、</w:t>
            </w:r>
            <w:r>
              <w:rPr>
                <w:rFonts w:ascii="Times New Roman" w:hAnsi="Times New Roman" w:eastAsia="仿宋_GB2312"/>
                <w:sz w:val="24"/>
                <w:szCs w:val="24"/>
              </w:rPr>
              <w:t>社会</w:t>
            </w:r>
            <w:r>
              <w:rPr>
                <w:rFonts w:hint="eastAsia" w:ascii="Times New Roman" w:hAnsi="Times New Roman" w:eastAsia="仿宋_GB2312"/>
                <w:sz w:val="24"/>
                <w:szCs w:val="24"/>
              </w:rPr>
              <w:t>的教学推广应用计划</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701"/>
              <w:gridCol w:w="1985"/>
              <w:gridCol w:w="1417"/>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134"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1701"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推广高校数</w:t>
                  </w:r>
                </w:p>
              </w:tc>
              <w:tc>
                <w:tcPr>
                  <w:tcW w:w="1985"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w:t>
                  </w:r>
                  <w:r>
                    <w:rPr>
                      <w:rFonts w:ascii="Times New Roman" w:hAnsi="Times New Roman" w:eastAsia="仿宋_GB2312"/>
                      <w:sz w:val="24"/>
                      <w:szCs w:val="24"/>
                    </w:rPr>
                    <w:t>人数</w:t>
                  </w:r>
                </w:p>
              </w:tc>
              <w:tc>
                <w:tcPr>
                  <w:tcW w:w="1417"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w:t>
                  </w:r>
                  <w:r>
                    <w:rPr>
                      <w:rFonts w:ascii="Times New Roman" w:hAnsi="Times New Roman" w:eastAsia="仿宋_GB2312"/>
                      <w:sz w:val="24"/>
                      <w:szCs w:val="24"/>
                    </w:rPr>
                    <w:t>行业</w:t>
                  </w:r>
                  <w:r>
                    <w:rPr>
                      <w:rFonts w:hint="eastAsia" w:ascii="Times New Roman" w:hAnsi="Times New Roman" w:eastAsia="仿宋_GB2312"/>
                      <w:sz w:val="24"/>
                      <w:szCs w:val="24"/>
                    </w:rPr>
                    <w:t>数</w:t>
                  </w:r>
                </w:p>
              </w:tc>
              <w:tc>
                <w:tcPr>
                  <w:tcW w:w="1276"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第一</w:t>
                  </w:r>
                  <w:r>
                    <w:rPr>
                      <w:rFonts w:ascii="Times New Roman" w:hAnsi="Times New Roman" w:eastAsia="仿宋_GB2312"/>
                      <w:sz w:val="24"/>
                      <w:szCs w:val="24"/>
                    </w:rPr>
                    <w:t>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400人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第三年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5</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600人</w:t>
                  </w:r>
                </w:p>
              </w:tc>
              <w:tc>
                <w:tcPr>
                  <w:tcW w:w="1417" w:type="dxa"/>
                </w:tcPr>
                <w:p>
                  <w:pPr>
                    <w:spacing w:line="288" w:lineRule="auto"/>
                    <w:jc w:val="left"/>
                    <w:rPr>
                      <w:rFonts w:ascii="Times New Roman" w:hAnsi="Times New Roman" w:eastAsia="仿宋_GB2312"/>
                      <w:sz w:val="24"/>
                      <w:szCs w:val="24"/>
                    </w:rPr>
                  </w:pPr>
                </w:p>
              </w:tc>
              <w:tc>
                <w:tcPr>
                  <w:tcW w:w="1276" w:type="dxa"/>
                </w:tcPr>
                <w:p>
                  <w:pPr>
                    <w:spacing w:line="288" w:lineRule="auto"/>
                    <w:jc w:val="left"/>
                    <w:rPr>
                      <w:rFonts w:ascii="Times New Roman" w:hAnsi="Times New Roman" w:eastAsia="仿宋_GB231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第四年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10</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1000人</w:t>
                  </w:r>
                </w:p>
              </w:tc>
              <w:tc>
                <w:tcPr>
                  <w:tcW w:w="1417"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276"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50人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1701"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15</w:t>
                  </w:r>
                </w:p>
              </w:tc>
              <w:tc>
                <w:tcPr>
                  <w:tcW w:w="1985"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2000人</w:t>
                  </w:r>
                </w:p>
              </w:tc>
              <w:tc>
                <w:tcPr>
                  <w:tcW w:w="1417"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w:t>
                  </w:r>
                </w:p>
              </w:tc>
              <w:tc>
                <w:tcPr>
                  <w:tcW w:w="1276"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100人</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p>
        </w:tc>
      </w:tr>
    </w:tbl>
    <w:p>
      <w:pPr>
        <w:spacing w:before="260" w:line="416" w:lineRule="auto"/>
        <w:jc w:val="left"/>
        <w:rPr>
          <w:rFonts w:ascii="黑体" w:hAnsi="黑体" w:eastAsia="黑体" w:cs="Times New Roman"/>
          <w:bCs/>
          <w:sz w:val="28"/>
        </w:rPr>
      </w:pPr>
      <w:r>
        <w:rPr>
          <w:rFonts w:hint="eastAsia" w:ascii="黑体" w:hAnsi="黑体" w:eastAsia="黑体"/>
          <w:sz w:val="28"/>
          <w:szCs w:val="28"/>
        </w:rPr>
        <w:t>9</w:t>
      </w:r>
      <w:r>
        <w:rPr>
          <w:rFonts w:hint="eastAsia" w:ascii="黑体" w:hAnsi="黑体" w:eastAsia="黑体" w:cs="Times New Roman"/>
          <w:bCs/>
          <w:sz w:val="28"/>
        </w:rPr>
        <w:t>.知识产权</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31"/>
        <w:gridCol w:w="6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center"/>
              <w:rPr>
                <w:rFonts w:ascii="Times New Roman" w:hAnsi="Times New Roman" w:eastAsia="仿宋_GB2312"/>
                <w:sz w:val="24"/>
                <w:szCs w:val="24"/>
              </w:rPr>
            </w:pPr>
            <w:r>
              <w:rPr>
                <w:rFonts w:hint="eastAsia" w:ascii="黑体" w:hAnsi="黑体" w:eastAsia="黑体"/>
                <w:sz w:val="24"/>
                <w:szCs w:val="24"/>
              </w:rPr>
              <w:t>软件著作权登记情况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left"/>
              <w:rPr>
                <w:rFonts w:ascii="黑体" w:hAnsi="黑体" w:eastAsia="黑体"/>
                <w:sz w:val="24"/>
                <w:szCs w:val="24"/>
              </w:rPr>
            </w:pPr>
            <w:r>
              <w:rPr>
                <w:rFonts w:hint="eastAsia" w:ascii="黑体" w:hAnsi="黑体" w:eastAsia="黑体"/>
                <w:sz w:val="24"/>
                <w:szCs w:val="24"/>
              </w:rPr>
              <w:t>以下填写内容须与软件著作权登记一致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软件名称</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4"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是否与课程名称一致</w:t>
            </w:r>
          </w:p>
        </w:tc>
        <w:tc>
          <w:tcPr>
            <w:tcW w:w="6103" w:type="dxa"/>
            <w:vAlign w:val="center"/>
          </w:tcPr>
          <w:p>
            <w:pPr>
              <w:spacing w:line="288" w:lineRule="auto"/>
              <w:ind w:right="-107" w:rightChars="-51"/>
              <w:jc w:val="left"/>
              <w:rPr>
                <w:rFonts w:ascii="Times New Roman" w:hAnsi="Times New Roman" w:eastAsia="仿宋_GB2312"/>
                <w:sz w:val="24"/>
                <w:szCs w:val="24"/>
              </w:rPr>
            </w:pP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否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8" w:hRule="exact"/>
          <w:jc w:val="center"/>
        </w:trPr>
        <w:tc>
          <w:tcPr>
            <w:tcW w:w="8634" w:type="dxa"/>
            <w:gridSpan w:val="2"/>
            <w:vAlign w:val="center"/>
          </w:tcPr>
          <w:p>
            <w:pPr>
              <w:spacing w:line="288" w:lineRule="auto"/>
              <w:ind w:right="-107" w:rightChars="-51" w:firstLine="480" w:firstLineChars="200"/>
              <w:jc w:val="left"/>
              <w:rPr>
                <w:rFonts w:ascii="Times New Roman" w:hAnsi="Times New Roman" w:eastAsia="仿宋_GB2312"/>
                <w:bCs/>
                <w:sz w:val="24"/>
                <w:szCs w:val="24"/>
              </w:rPr>
            </w:pPr>
            <w:r>
              <w:rPr>
                <w:rFonts w:hint="eastAsia" w:ascii="Times New Roman" w:hAnsi="Times New Roman" w:eastAsia="仿宋_GB2312"/>
                <w:bCs/>
                <w:sz w:val="24"/>
                <w:szCs w:val="24"/>
              </w:rPr>
              <w:t>每栏只填写一个著作权人，并勾选该著作权人类型。如勾选“其他”需填写具体内容；如存在多个著作权人，可自行增加著作人填写栏进行填报。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著作权人</w:t>
            </w:r>
          </w:p>
        </w:tc>
        <w:tc>
          <w:tcPr>
            <w:tcW w:w="6103" w:type="dxa"/>
            <w:vAlign w:val="center"/>
          </w:tcPr>
          <w:p>
            <w:pPr>
              <w:spacing w:line="288" w:lineRule="auto"/>
              <w:jc w:val="left"/>
              <w:rPr>
                <w:rFonts w:ascii="Times New Roman" w:hAnsi="Times New Roman" w:eastAsia="仿宋_GB2312"/>
                <w:sz w:val="24"/>
                <w:szCs w:val="24"/>
              </w:rPr>
            </w:pPr>
            <w:r>
              <w:rPr>
                <w:rFonts w:hint="eastAsia" w:ascii="黑体" w:hAnsi="黑体" w:eastAsia="黑体"/>
                <w:sz w:val="24"/>
                <w:szCs w:val="24"/>
              </w:rPr>
              <w:t>著作权人</w:t>
            </w:r>
            <w:r>
              <w:rPr>
                <w:rFonts w:ascii="黑体" w:hAnsi="黑体" w:eastAsia="黑体"/>
                <w:sz w:val="24"/>
                <w:szCs w:val="24"/>
              </w:rPr>
              <w:t>类型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5" w:hRule="exact"/>
          <w:jc w:val="center"/>
        </w:trPr>
        <w:tc>
          <w:tcPr>
            <w:tcW w:w="2531" w:type="dxa"/>
            <w:vAlign w:val="center"/>
          </w:tcPr>
          <w:p>
            <w:pPr>
              <w:spacing w:line="288" w:lineRule="auto"/>
              <w:jc w:val="left"/>
              <w:rPr>
                <w:rFonts w:ascii="黑体" w:hAnsi="黑体" w:eastAsia="黑体"/>
                <w:sz w:val="24"/>
                <w:szCs w:val="24"/>
              </w:rPr>
            </w:pPr>
          </w:p>
        </w:tc>
        <w:tc>
          <w:tcPr>
            <w:tcW w:w="6103" w:type="dxa"/>
            <w:vAlign w:val="center"/>
          </w:tcPr>
          <w:p>
            <w:pPr>
              <w:rPr>
                <w:rFonts w:ascii="仿宋" w:hAnsi="仿宋" w:eastAsia="仿宋" w:cs="仿宋"/>
                <w:sz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课程所属学校  </w:t>
            </w: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  </w:t>
            </w:r>
          </w:p>
          <w:p>
            <w:pPr>
              <w:rPr>
                <w:rFonts w:ascii="仿宋" w:hAnsi="仿宋" w:eastAsia="仿宋" w:cs="仿宋"/>
                <w:sz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课程负责人    </w:t>
            </w:r>
            <w:r>
              <w:rPr>
                <w:rFonts w:hint="eastAsia" w:asciiTheme="majorEastAsia" w:hAnsiTheme="majorEastAsia" w:eastAsiaTheme="majorEastAsia"/>
                <w:sz w:val="24"/>
                <w:szCs w:val="24"/>
              </w:rPr>
              <w:t>○</w:t>
            </w:r>
            <w:r>
              <w:rPr>
                <w:rFonts w:hint="eastAsia" w:ascii="仿宋" w:hAnsi="仿宋" w:eastAsia="仿宋" w:cs="仿宋"/>
                <w:sz w:val="24"/>
                <w:szCs w:val="24"/>
              </w:rPr>
              <w:t>学校团队成员</w:t>
            </w:r>
          </w:p>
          <w:p>
            <w:pPr>
              <w:spacing w:line="288" w:lineRule="auto"/>
              <w:jc w:val="left"/>
              <w:rPr>
                <w:rFonts w:ascii="Times New Roman" w:hAnsi="Times New Roman" w:eastAsia="仿宋_GB2312"/>
                <w:sz w:val="24"/>
                <w:szCs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企业人员      </w:t>
            </w:r>
            <w:r>
              <w:rPr>
                <w:rFonts w:hint="eastAsia" w:asciiTheme="majorEastAsia" w:hAnsiTheme="majorEastAsia" w:eastAsiaTheme="majorEastAsia"/>
                <w:sz w:val="24"/>
                <w:szCs w:val="24"/>
              </w:rPr>
              <w:t>○</w:t>
            </w:r>
            <w:r>
              <w:rPr>
                <w:rFonts w:hint="eastAsia" w:ascii="仿宋" w:hAnsi="仿宋" w:eastAsia="仿宋" w:cs="仿宋"/>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权利范围</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软件著作</w:t>
            </w:r>
            <w:r>
              <w:rPr>
                <w:rFonts w:ascii="黑体" w:hAnsi="黑体" w:eastAsia="黑体"/>
                <w:sz w:val="24"/>
                <w:szCs w:val="24"/>
              </w:rPr>
              <w:t>登记号</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如软件著作权正在申请过程中，尚未获得证书，请填写受理流水号。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受理流水号</w:t>
            </w:r>
          </w:p>
        </w:tc>
        <w:tc>
          <w:tcPr>
            <w:tcW w:w="6103" w:type="dxa"/>
            <w:vAlign w:val="center"/>
          </w:tcPr>
          <w:p>
            <w:pPr>
              <w:spacing w:line="288" w:lineRule="auto"/>
              <w:jc w:val="left"/>
              <w:rPr>
                <w:rFonts w:ascii="Times New Roman" w:hAnsi="Times New Roman" w:eastAsia="仿宋_GB2312"/>
                <w:sz w:val="24"/>
                <w:szCs w:val="24"/>
              </w:rPr>
            </w:pPr>
          </w:p>
        </w:tc>
      </w:tr>
    </w:tbl>
    <w:p>
      <w:pPr>
        <w:spacing w:before="260" w:line="416" w:lineRule="auto"/>
        <w:jc w:val="left"/>
        <w:rPr>
          <w:rFonts w:ascii="黑体" w:hAnsi="黑体" w:eastAsia="黑体"/>
          <w:sz w:val="28"/>
          <w:szCs w:val="28"/>
        </w:rPr>
      </w:pPr>
      <w:r>
        <w:rPr>
          <w:rFonts w:hint="eastAsia" w:ascii="黑体" w:hAnsi="黑体" w:eastAsia="黑体"/>
          <w:sz w:val="28"/>
          <w:szCs w:val="28"/>
        </w:rPr>
        <w:t>10.诚信承诺</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43" w:hRule="atLeast"/>
          <w:jc w:val="center"/>
        </w:trPr>
        <w:tc>
          <w:tcPr>
            <w:tcW w:w="8634" w:type="dxa"/>
            <w:vAlign w:val="center"/>
          </w:tcPr>
          <w:p>
            <w:pPr>
              <w:spacing w:before="156" w:beforeLines="50" w:after="156" w:afterLines="50" w:line="288"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实验教学课程负责人（签字）：</w:t>
            </w: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r>
              <w:rPr>
                <w:rFonts w:hint="eastAsia" w:ascii="Times New Roman" w:hAnsi="Times New Roman" w:eastAsia="仿宋_GB2312"/>
                <w:sz w:val="24"/>
                <w:szCs w:val="24"/>
              </w:rPr>
              <w:t xml:space="preserve">                                             年    月    日</w:t>
            </w:r>
          </w:p>
        </w:tc>
      </w:tr>
    </w:tbl>
    <w:p>
      <w:pPr>
        <w:spacing w:before="260" w:line="416" w:lineRule="auto"/>
        <w:jc w:val="left"/>
        <w:rPr>
          <w:rFonts w:ascii="黑体" w:hAnsi="黑体" w:eastAsia="黑体"/>
          <w:sz w:val="28"/>
          <w:szCs w:val="28"/>
        </w:rPr>
      </w:pPr>
    </w:p>
    <w:p>
      <w:pPr>
        <w:spacing w:before="260" w:line="416" w:lineRule="auto"/>
        <w:jc w:val="left"/>
        <w:rPr>
          <w:rFonts w:ascii="黑体" w:hAnsi="黑体" w:eastAsia="黑体"/>
          <w:sz w:val="28"/>
          <w:szCs w:val="28"/>
        </w:rPr>
      </w:pPr>
      <w:r>
        <w:rPr>
          <w:rFonts w:hint="eastAsia" w:ascii="黑体" w:hAnsi="黑体" w:eastAsia="黑体"/>
          <w:sz w:val="28"/>
          <w:szCs w:val="28"/>
        </w:rPr>
        <w:t>11</w:t>
      </w:r>
      <w:r>
        <w:rPr>
          <w:rFonts w:ascii="黑体" w:hAnsi="黑体" w:eastAsia="黑体"/>
          <w:sz w:val="28"/>
          <w:szCs w:val="28"/>
        </w:rPr>
        <w:t>.</w:t>
      </w:r>
      <w:r>
        <w:rPr>
          <w:rFonts w:hint="eastAsia" w:ascii="黑体" w:hAnsi="黑体" w:eastAsia="黑体"/>
          <w:sz w:val="28"/>
          <w:szCs w:val="28"/>
        </w:rPr>
        <w:t>附件材料清单</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18" w:hRule="atLeast"/>
          <w:jc w:val="center"/>
        </w:trPr>
        <w:tc>
          <w:tcPr>
            <w:tcW w:w="8634" w:type="dxa"/>
            <w:vAlign w:val="center"/>
          </w:tcPr>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1.课程团队成员和课程内容政治审查意见（必须提供）</w:t>
            </w:r>
          </w:p>
          <w:p>
            <w:pPr>
              <w:pStyle w:val="14"/>
              <w:spacing w:line="288" w:lineRule="auto"/>
              <w:ind w:firstLine="48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团队成员涉及多校时，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pPr>
              <w:pStyle w:val="14"/>
              <w:spacing w:line="288" w:lineRule="auto"/>
              <w:ind w:firstLine="48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政治审查意见：课程团队成员，政治表现良好，不存在违法违纪记录、师德师风高尚、学术品德端正、五年内没有出现过重大教学事故；课程内容价值取向正确。对于我国政治制度以及党的理论、路线、方针、政策等理解和表述准确无误，对于国家主权、领土表述及标注准确。</w:t>
            </w:r>
          </w:p>
          <w:p>
            <w:pPr>
              <w:spacing w:line="288" w:lineRule="auto"/>
              <w:rPr>
                <w:rFonts w:ascii="仿宋_GB2312" w:hAnsi="仿宋_GB2312" w:eastAsia="仿宋_GB2312" w:cs="仿宋_GB2312"/>
                <w:sz w:val="24"/>
                <w:szCs w:val="24"/>
              </w:rPr>
            </w:pPr>
          </w:p>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2.课程内容学术性评价意见（必须提供）</w:t>
            </w:r>
          </w:p>
          <w:p>
            <w:pPr>
              <w:pStyle w:val="14"/>
              <w:spacing w:line="288" w:lineRule="auto"/>
              <w:ind w:firstLine="48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pStyle w:val="14"/>
              <w:spacing w:line="288" w:lineRule="auto"/>
              <w:ind w:firstLine="48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学术委员会意见：实验项目以滚动轴承应力应变分析为目的，通过建立滚动轴承三维模型，在仿真环境下，进行材料设定、物理属性设定、载荷施加、约束限定，模拟了轴承工作情况下的实际受力状态。实验以不同的径向载荷为自变量，以滚动轴承的应力和应变为因变量，测试轴承在不同载荷作用下的应力应变特性。</w:t>
            </w:r>
          </w:p>
          <w:p>
            <w:pPr>
              <w:spacing w:line="288" w:lineRule="auto"/>
              <w:rPr>
                <w:rFonts w:ascii="仿宋_GB2312" w:hAnsi="仿宋_GB2312" w:eastAsia="仿宋_GB2312" w:cs="仿宋_GB2312"/>
                <w:sz w:val="24"/>
                <w:szCs w:val="24"/>
              </w:rPr>
            </w:pPr>
            <w:r>
              <w:rPr>
                <w:rFonts w:hint="eastAsia" w:ascii="仿宋_GB2312" w:hAnsi="仿宋_GB2312" w:eastAsia="仿宋_GB2312" w:cs="仿宋_GB2312"/>
                <w:sz w:val="24"/>
                <w:szCs w:val="24"/>
              </w:rPr>
              <w:t>实验内容丰富、操作过程合理，涉及力学类基础理论，与实际问题相结合，体现了应用型人才培养定位。本实验是不可逆实验、高损耗实验，满足虚拟仿真实验的基本要求。</w:t>
            </w:r>
          </w:p>
          <w:p>
            <w:pPr>
              <w:pStyle w:val="14"/>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3.</w:t>
            </w:r>
            <w:r>
              <w:rPr>
                <w:rFonts w:hint="eastAsia" w:ascii="仿宋_GB2312" w:hAnsi="仿宋_GB2312" w:eastAsia="仿宋_GB2312" w:cs="仿宋_GB2312"/>
                <w:b/>
                <w:sz w:val="24"/>
                <w:szCs w:val="24"/>
              </w:rPr>
              <w:t>校外评价意见（可选提供）</w:t>
            </w:r>
          </w:p>
          <w:p>
            <w:pPr>
              <w:pStyle w:val="14"/>
              <w:spacing w:line="288" w:lineRule="auto"/>
              <w:ind w:firstLine="480"/>
              <w:rPr>
                <w:rFonts w:ascii="仿宋" w:hAnsi="仿宋" w:eastAsia="仿宋"/>
                <w:sz w:val="24"/>
                <w:szCs w:val="24"/>
              </w:rPr>
            </w:pPr>
            <w:r>
              <w:rPr>
                <w:rFonts w:hint="eastAsia" w:ascii="仿宋_GB2312" w:hAnsi="仿宋_GB2312" w:eastAsia="仿宋_GB2312" w:cs="仿宋_GB2312"/>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pPr>
        <w:spacing w:line="288" w:lineRule="auto"/>
        <w:ind w:firstLine="420" w:firstLineChars="150"/>
        <w:jc w:val="left"/>
        <w:rPr>
          <w:rFonts w:ascii="黑体" w:hAnsi="黑体" w:eastAsia="黑体"/>
          <w:sz w:val="28"/>
          <w:szCs w:val="28"/>
        </w:rPr>
      </w:pPr>
    </w:p>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小标宋简体">
    <w:panose1 w:val="02010601030101010101"/>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0000000000000000000"/>
    <w:charset w:val="86"/>
    <w:family w:val="script"/>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16205" cy="139700"/>
              <wp:effectExtent l="0" t="0" r="10795" b="6350"/>
              <wp:wrapNone/>
              <wp:docPr id="15" name="文本框 1"/>
              <wp:cNvGraphicFramePr/>
              <a:graphic xmlns:a="http://schemas.openxmlformats.org/drawingml/2006/main">
                <a:graphicData uri="http://schemas.microsoft.com/office/word/2010/wordprocessingShape">
                  <wps:wsp>
                    <wps:cNvSpPr txBox="1"/>
                    <wps:spPr>
                      <a:xfrm>
                        <a:off x="0" y="0"/>
                        <a:ext cx="116205" cy="139700"/>
                      </a:xfrm>
                      <a:prstGeom prst="rect">
                        <a:avLst/>
                      </a:prstGeom>
                      <a:noFill/>
                      <a:ln w="6350">
                        <a:noFill/>
                      </a:ln>
                    </wps:spPr>
                    <wps:txbx>
                      <w:txbxContent>
                        <w:p>
                          <w:pPr>
                            <w:pStyle w:val="5"/>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1pt;width:9.15pt;mso-position-horizontal:center;mso-position-horizontal-relative:margin;mso-wrap-style:none;z-index:251659264;mso-width-relative:page;mso-height-relative:page;" filled="f" stroked="f" coordsize="21600,21600" o:gfxdata="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BeJKNIAAAADAQAADwAAAAAAAAABACAAAAAiAAAAZHJzL2Rvd25yZXYueG1sUEsBAhQAFAAA&#10;AAgAh07iQBBKkBAuAgAAVAQAAA4AAAAAAAAAAQAgAAAAIQEAAGRycy9lMm9Eb2MueG1sUEsFBgAA&#10;AAAGAAYAWQEAAMEFA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B409C6"/>
    <w:multiLevelType w:val="multilevel"/>
    <w:tmpl w:val="26B409C6"/>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73338F2"/>
    <w:multiLevelType w:val="multilevel"/>
    <w:tmpl w:val="473338F2"/>
    <w:lvl w:ilvl="0" w:tentative="0">
      <w:start w:val="1"/>
      <w:numFmt w:val="decimal"/>
      <w:lvlText w:val="（%1）"/>
      <w:lvlJc w:val="left"/>
      <w:pPr>
        <w:ind w:left="1080" w:hanging="720"/>
      </w:pPr>
      <w:rPr>
        <w:rFonts w:hint="default" w:hAnsi="Times New Roman"/>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
    <w:nsid w:val="53680DC8"/>
    <w:multiLevelType w:val="multilevel"/>
    <w:tmpl w:val="53680DC8"/>
    <w:lvl w:ilvl="0" w:tentative="0">
      <w:start w:val="3"/>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5CFB4149"/>
    <w:multiLevelType w:val="multilevel"/>
    <w:tmpl w:val="5CFB414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6D60409F"/>
    <w:multiLevelType w:val="multilevel"/>
    <w:tmpl w:val="6D60409F"/>
    <w:lvl w:ilvl="0" w:tentative="0">
      <w:start w:val="3"/>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AD515B4"/>
    <w:multiLevelType w:val="multilevel"/>
    <w:tmpl w:val="7AD515B4"/>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2"/>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01E2"/>
    <w:rsid w:val="0000787A"/>
    <w:rsid w:val="000149A5"/>
    <w:rsid w:val="00015199"/>
    <w:rsid w:val="000218C2"/>
    <w:rsid w:val="00025A3D"/>
    <w:rsid w:val="00040DFE"/>
    <w:rsid w:val="00043C13"/>
    <w:rsid w:val="0004527F"/>
    <w:rsid w:val="00052618"/>
    <w:rsid w:val="0007214F"/>
    <w:rsid w:val="00081527"/>
    <w:rsid w:val="0009737C"/>
    <w:rsid w:val="000A4952"/>
    <w:rsid w:val="000A4DA3"/>
    <w:rsid w:val="000C3AA6"/>
    <w:rsid w:val="000C4CEE"/>
    <w:rsid w:val="000D1660"/>
    <w:rsid w:val="000D3016"/>
    <w:rsid w:val="000F5376"/>
    <w:rsid w:val="000F5445"/>
    <w:rsid w:val="000F7431"/>
    <w:rsid w:val="00103DA5"/>
    <w:rsid w:val="001228FA"/>
    <w:rsid w:val="0013190E"/>
    <w:rsid w:val="00156285"/>
    <w:rsid w:val="00161607"/>
    <w:rsid w:val="001664EC"/>
    <w:rsid w:val="001668E1"/>
    <w:rsid w:val="00172D20"/>
    <w:rsid w:val="001760D9"/>
    <w:rsid w:val="00180BCE"/>
    <w:rsid w:val="00181C88"/>
    <w:rsid w:val="00190A13"/>
    <w:rsid w:val="00192CF7"/>
    <w:rsid w:val="001B1459"/>
    <w:rsid w:val="001B2F0F"/>
    <w:rsid w:val="001B3070"/>
    <w:rsid w:val="001B5D03"/>
    <w:rsid w:val="001C3BDA"/>
    <w:rsid w:val="001C76FB"/>
    <w:rsid w:val="001F02AE"/>
    <w:rsid w:val="001F6B21"/>
    <w:rsid w:val="0020252A"/>
    <w:rsid w:val="00213518"/>
    <w:rsid w:val="00217B1E"/>
    <w:rsid w:val="00220590"/>
    <w:rsid w:val="00222C30"/>
    <w:rsid w:val="00226769"/>
    <w:rsid w:val="002331F5"/>
    <w:rsid w:val="00237645"/>
    <w:rsid w:val="00240357"/>
    <w:rsid w:val="00241D2E"/>
    <w:rsid w:val="00241FAA"/>
    <w:rsid w:val="002568F0"/>
    <w:rsid w:val="00264439"/>
    <w:rsid w:val="00265330"/>
    <w:rsid w:val="002A0D54"/>
    <w:rsid w:val="002A4C63"/>
    <w:rsid w:val="002B7274"/>
    <w:rsid w:val="002B7B51"/>
    <w:rsid w:val="002C1D6D"/>
    <w:rsid w:val="002C220C"/>
    <w:rsid w:val="002D06D2"/>
    <w:rsid w:val="002D5C74"/>
    <w:rsid w:val="002E2EC4"/>
    <w:rsid w:val="002E3539"/>
    <w:rsid w:val="002F7EF5"/>
    <w:rsid w:val="003017B5"/>
    <w:rsid w:val="0031639C"/>
    <w:rsid w:val="00330B12"/>
    <w:rsid w:val="00342280"/>
    <w:rsid w:val="003551CF"/>
    <w:rsid w:val="0036253D"/>
    <w:rsid w:val="00364793"/>
    <w:rsid w:val="00381FC9"/>
    <w:rsid w:val="00392363"/>
    <w:rsid w:val="003A48A1"/>
    <w:rsid w:val="003A6D73"/>
    <w:rsid w:val="003B74C1"/>
    <w:rsid w:val="003D7A9F"/>
    <w:rsid w:val="003E7F1E"/>
    <w:rsid w:val="003F04FA"/>
    <w:rsid w:val="003F54FC"/>
    <w:rsid w:val="00411192"/>
    <w:rsid w:val="00415AC0"/>
    <w:rsid w:val="00440BF6"/>
    <w:rsid w:val="00441DF2"/>
    <w:rsid w:val="00453268"/>
    <w:rsid w:val="00460BD4"/>
    <w:rsid w:val="00460E12"/>
    <w:rsid w:val="004A3122"/>
    <w:rsid w:val="004C24CB"/>
    <w:rsid w:val="004E0958"/>
    <w:rsid w:val="004E2463"/>
    <w:rsid w:val="00505513"/>
    <w:rsid w:val="00526A71"/>
    <w:rsid w:val="00532DB6"/>
    <w:rsid w:val="00533320"/>
    <w:rsid w:val="00560B7A"/>
    <w:rsid w:val="0056132F"/>
    <w:rsid w:val="005661E8"/>
    <w:rsid w:val="005673F1"/>
    <w:rsid w:val="005700F0"/>
    <w:rsid w:val="005803EC"/>
    <w:rsid w:val="005817FA"/>
    <w:rsid w:val="00594024"/>
    <w:rsid w:val="005956B2"/>
    <w:rsid w:val="005A1F08"/>
    <w:rsid w:val="005A6352"/>
    <w:rsid w:val="005B2C12"/>
    <w:rsid w:val="005C7A4D"/>
    <w:rsid w:val="005E18DC"/>
    <w:rsid w:val="005F16C3"/>
    <w:rsid w:val="005F3428"/>
    <w:rsid w:val="005F4C2D"/>
    <w:rsid w:val="00603639"/>
    <w:rsid w:val="00610B5D"/>
    <w:rsid w:val="00614C9B"/>
    <w:rsid w:val="00617AF0"/>
    <w:rsid w:val="00624702"/>
    <w:rsid w:val="00625A35"/>
    <w:rsid w:val="006362D5"/>
    <w:rsid w:val="00641233"/>
    <w:rsid w:val="00643F9F"/>
    <w:rsid w:val="006448FC"/>
    <w:rsid w:val="0064680D"/>
    <w:rsid w:val="00650585"/>
    <w:rsid w:val="006525C4"/>
    <w:rsid w:val="006533EF"/>
    <w:rsid w:val="00693DBC"/>
    <w:rsid w:val="006A2043"/>
    <w:rsid w:val="006B07E4"/>
    <w:rsid w:val="006B18D8"/>
    <w:rsid w:val="006B34F5"/>
    <w:rsid w:val="006B71A1"/>
    <w:rsid w:val="006C6D51"/>
    <w:rsid w:val="006D1775"/>
    <w:rsid w:val="006D3E00"/>
    <w:rsid w:val="006D47E9"/>
    <w:rsid w:val="006F066A"/>
    <w:rsid w:val="006F1DDA"/>
    <w:rsid w:val="006F3FAF"/>
    <w:rsid w:val="007017A0"/>
    <w:rsid w:val="007021CE"/>
    <w:rsid w:val="0070290E"/>
    <w:rsid w:val="00705D6E"/>
    <w:rsid w:val="007109CA"/>
    <w:rsid w:val="00717295"/>
    <w:rsid w:val="0073745D"/>
    <w:rsid w:val="007477E5"/>
    <w:rsid w:val="00780870"/>
    <w:rsid w:val="00781106"/>
    <w:rsid w:val="007901AA"/>
    <w:rsid w:val="007B6E25"/>
    <w:rsid w:val="007C1BD2"/>
    <w:rsid w:val="007C4C40"/>
    <w:rsid w:val="007D190C"/>
    <w:rsid w:val="007D468B"/>
    <w:rsid w:val="007D5728"/>
    <w:rsid w:val="007F5116"/>
    <w:rsid w:val="00823574"/>
    <w:rsid w:val="00823E19"/>
    <w:rsid w:val="00824127"/>
    <w:rsid w:val="00827EE0"/>
    <w:rsid w:val="008324A5"/>
    <w:rsid w:val="0085217F"/>
    <w:rsid w:val="00871C61"/>
    <w:rsid w:val="00882A4D"/>
    <w:rsid w:val="00890F29"/>
    <w:rsid w:val="008B1529"/>
    <w:rsid w:val="008B1D9F"/>
    <w:rsid w:val="008B32FE"/>
    <w:rsid w:val="008B358F"/>
    <w:rsid w:val="008B3B22"/>
    <w:rsid w:val="008D4DA5"/>
    <w:rsid w:val="008F1278"/>
    <w:rsid w:val="009003E1"/>
    <w:rsid w:val="00906226"/>
    <w:rsid w:val="00912EBF"/>
    <w:rsid w:val="009168D0"/>
    <w:rsid w:val="00916D3D"/>
    <w:rsid w:val="00926907"/>
    <w:rsid w:val="00953AA6"/>
    <w:rsid w:val="00963604"/>
    <w:rsid w:val="00965158"/>
    <w:rsid w:val="009733F0"/>
    <w:rsid w:val="009808BD"/>
    <w:rsid w:val="0099205F"/>
    <w:rsid w:val="00996DB8"/>
    <w:rsid w:val="009B3B3D"/>
    <w:rsid w:val="009B6184"/>
    <w:rsid w:val="009D2334"/>
    <w:rsid w:val="009D36F4"/>
    <w:rsid w:val="009D5CC2"/>
    <w:rsid w:val="009D7852"/>
    <w:rsid w:val="009D7D62"/>
    <w:rsid w:val="009D7DAB"/>
    <w:rsid w:val="009E1046"/>
    <w:rsid w:val="009E5059"/>
    <w:rsid w:val="009E56E3"/>
    <w:rsid w:val="009F64D1"/>
    <w:rsid w:val="009F7D53"/>
    <w:rsid w:val="00A0193B"/>
    <w:rsid w:val="00A138A6"/>
    <w:rsid w:val="00A31091"/>
    <w:rsid w:val="00A3190F"/>
    <w:rsid w:val="00A60BCA"/>
    <w:rsid w:val="00A72665"/>
    <w:rsid w:val="00A72CB3"/>
    <w:rsid w:val="00A76055"/>
    <w:rsid w:val="00A91AAE"/>
    <w:rsid w:val="00A9255F"/>
    <w:rsid w:val="00A95F8D"/>
    <w:rsid w:val="00AB0E3A"/>
    <w:rsid w:val="00AB2003"/>
    <w:rsid w:val="00AB53E5"/>
    <w:rsid w:val="00AB783F"/>
    <w:rsid w:val="00AC64C6"/>
    <w:rsid w:val="00AD2098"/>
    <w:rsid w:val="00AD28DC"/>
    <w:rsid w:val="00AD3617"/>
    <w:rsid w:val="00AE0811"/>
    <w:rsid w:val="00AE4394"/>
    <w:rsid w:val="00AE5A00"/>
    <w:rsid w:val="00AF35DF"/>
    <w:rsid w:val="00AF7851"/>
    <w:rsid w:val="00B01888"/>
    <w:rsid w:val="00B22659"/>
    <w:rsid w:val="00B24554"/>
    <w:rsid w:val="00B3436C"/>
    <w:rsid w:val="00B35078"/>
    <w:rsid w:val="00B37074"/>
    <w:rsid w:val="00B379B7"/>
    <w:rsid w:val="00B42AF5"/>
    <w:rsid w:val="00B51B76"/>
    <w:rsid w:val="00B61ABC"/>
    <w:rsid w:val="00B732E5"/>
    <w:rsid w:val="00B73796"/>
    <w:rsid w:val="00B75384"/>
    <w:rsid w:val="00B75DEC"/>
    <w:rsid w:val="00B763F4"/>
    <w:rsid w:val="00B81F56"/>
    <w:rsid w:val="00BA49B1"/>
    <w:rsid w:val="00BB34FD"/>
    <w:rsid w:val="00BC63CE"/>
    <w:rsid w:val="00BE1611"/>
    <w:rsid w:val="00BE1768"/>
    <w:rsid w:val="00BE515A"/>
    <w:rsid w:val="00C15735"/>
    <w:rsid w:val="00C351D4"/>
    <w:rsid w:val="00C36BA3"/>
    <w:rsid w:val="00C4113B"/>
    <w:rsid w:val="00C46AB8"/>
    <w:rsid w:val="00C67498"/>
    <w:rsid w:val="00C7556A"/>
    <w:rsid w:val="00C93574"/>
    <w:rsid w:val="00C94C3E"/>
    <w:rsid w:val="00CA3025"/>
    <w:rsid w:val="00CA39DD"/>
    <w:rsid w:val="00CB3A81"/>
    <w:rsid w:val="00CC5D91"/>
    <w:rsid w:val="00CD383F"/>
    <w:rsid w:val="00CD3B03"/>
    <w:rsid w:val="00CE74BA"/>
    <w:rsid w:val="00D06D5C"/>
    <w:rsid w:val="00D31261"/>
    <w:rsid w:val="00D41B0D"/>
    <w:rsid w:val="00D47A36"/>
    <w:rsid w:val="00D637FF"/>
    <w:rsid w:val="00D87F45"/>
    <w:rsid w:val="00DA25C3"/>
    <w:rsid w:val="00DB67E1"/>
    <w:rsid w:val="00DD4141"/>
    <w:rsid w:val="00DE285D"/>
    <w:rsid w:val="00DE579A"/>
    <w:rsid w:val="00DF6DF5"/>
    <w:rsid w:val="00DF7A8D"/>
    <w:rsid w:val="00E07645"/>
    <w:rsid w:val="00E07A9E"/>
    <w:rsid w:val="00E15B34"/>
    <w:rsid w:val="00E314AE"/>
    <w:rsid w:val="00E32A37"/>
    <w:rsid w:val="00E61061"/>
    <w:rsid w:val="00E970C7"/>
    <w:rsid w:val="00E970E5"/>
    <w:rsid w:val="00EA0FDE"/>
    <w:rsid w:val="00ED6398"/>
    <w:rsid w:val="00EE1D66"/>
    <w:rsid w:val="00F0007D"/>
    <w:rsid w:val="00F1373E"/>
    <w:rsid w:val="00F151B9"/>
    <w:rsid w:val="00F21F17"/>
    <w:rsid w:val="00F26A51"/>
    <w:rsid w:val="00F323B8"/>
    <w:rsid w:val="00F401E2"/>
    <w:rsid w:val="00F4658A"/>
    <w:rsid w:val="00F6375F"/>
    <w:rsid w:val="00F641C5"/>
    <w:rsid w:val="00F70E6D"/>
    <w:rsid w:val="00F7304E"/>
    <w:rsid w:val="00F7586E"/>
    <w:rsid w:val="00F87EBB"/>
    <w:rsid w:val="00F95A9D"/>
    <w:rsid w:val="00FA4D54"/>
    <w:rsid w:val="00FC217A"/>
    <w:rsid w:val="00FC4E78"/>
    <w:rsid w:val="00FE19D2"/>
    <w:rsid w:val="00FE3308"/>
    <w:rsid w:val="00FE78D4"/>
    <w:rsid w:val="019239E9"/>
    <w:rsid w:val="01B91C91"/>
    <w:rsid w:val="01FA52DC"/>
    <w:rsid w:val="03EE0B48"/>
    <w:rsid w:val="041F2B92"/>
    <w:rsid w:val="0468007C"/>
    <w:rsid w:val="059A06CF"/>
    <w:rsid w:val="076D09B4"/>
    <w:rsid w:val="09AC601B"/>
    <w:rsid w:val="0B556EC1"/>
    <w:rsid w:val="0C3B4E7C"/>
    <w:rsid w:val="0C837D02"/>
    <w:rsid w:val="0D4C577E"/>
    <w:rsid w:val="0F021D55"/>
    <w:rsid w:val="0F547965"/>
    <w:rsid w:val="0F907C25"/>
    <w:rsid w:val="0FCD71B6"/>
    <w:rsid w:val="10075F55"/>
    <w:rsid w:val="10101222"/>
    <w:rsid w:val="109C05C8"/>
    <w:rsid w:val="10EC5CAC"/>
    <w:rsid w:val="11201859"/>
    <w:rsid w:val="11264AFF"/>
    <w:rsid w:val="114F6C9A"/>
    <w:rsid w:val="11F15F86"/>
    <w:rsid w:val="12333CE8"/>
    <w:rsid w:val="132B3510"/>
    <w:rsid w:val="15F0088C"/>
    <w:rsid w:val="17331138"/>
    <w:rsid w:val="17E85C3C"/>
    <w:rsid w:val="18A65575"/>
    <w:rsid w:val="1A162EF1"/>
    <w:rsid w:val="1BF069B9"/>
    <w:rsid w:val="1E9E550F"/>
    <w:rsid w:val="1F8A42BB"/>
    <w:rsid w:val="20EF7175"/>
    <w:rsid w:val="2133635E"/>
    <w:rsid w:val="215E3309"/>
    <w:rsid w:val="22520DE8"/>
    <w:rsid w:val="23AA7592"/>
    <w:rsid w:val="23CE6B8D"/>
    <w:rsid w:val="247B1EC4"/>
    <w:rsid w:val="25521CDE"/>
    <w:rsid w:val="25CD52DC"/>
    <w:rsid w:val="2623435C"/>
    <w:rsid w:val="26674132"/>
    <w:rsid w:val="26AF0A8D"/>
    <w:rsid w:val="28F14025"/>
    <w:rsid w:val="29DC5428"/>
    <w:rsid w:val="2BFA1FFF"/>
    <w:rsid w:val="2D9B7191"/>
    <w:rsid w:val="2D9F24EC"/>
    <w:rsid w:val="2E26786F"/>
    <w:rsid w:val="2E997710"/>
    <w:rsid w:val="309C233D"/>
    <w:rsid w:val="30E03457"/>
    <w:rsid w:val="32FE7099"/>
    <w:rsid w:val="331A5921"/>
    <w:rsid w:val="34117235"/>
    <w:rsid w:val="345403E5"/>
    <w:rsid w:val="3467358E"/>
    <w:rsid w:val="358A57D8"/>
    <w:rsid w:val="377D4265"/>
    <w:rsid w:val="37BE6750"/>
    <w:rsid w:val="3875466D"/>
    <w:rsid w:val="38BD14C8"/>
    <w:rsid w:val="390F5880"/>
    <w:rsid w:val="39AC76D1"/>
    <w:rsid w:val="3AB643A8"/>
    <w:rsid w:val="3CA40E0C"/>
    <w:rsid w:val="3D03040C"/>
    <w:rsid w:val="3E7F3CA3"/>
    <w:rsid w:val="416951B0"/>
    <w:rsid w:val="41AE0BF9"/>
    <w:rsid w:val="430F5848"/>
    <w:rsid w:val="43895E18"/>
    <w:rsid w:val="45AF22BC"/>
    <w:rsid w:val="45D430A2"/>
    <w:rsid w:val="462D1405"/>
    <w:rsid w:val="462D3414"/>
    <w:rsid w:val="465E4D6A"/>
    <w:rsid w:val="48497BAF"/>
    <w:rsid w:val="4A2946D5"/>
    <w:rsid w:val="4A972DBC"/>
    <w:rsid w:val="4ACE349A"/>
    <w:rsid w:val="4B175729"/>
    <w:rsid w:val="4D3970AD"/>
    <w:rsid w:val="4D6D13C9"/>
    <w:rsid w:val="4DF468EA"/>
    <w:rsid w:val="4F900F7C"/>
    <w:rsid w:val="50303BCC"/>
    <w:rsid w:val="50DA2F7D"/>
    <w:rsid w:val="511C3C58"/>
    <w:rsid w:val="513467C3"/>
    <w:rsid w:val="51726BD4"/>
    <w:rsid w:val="51C76BAE"/>
    <w:rsid w:val="51C92051"/>
    <w:rsid w:val="51CE3295"/>
    <w:rsid w:val="51E01C6C"/>
    <w:rsid w:val="53FF03BD"/>
    <w:rsid w:val="54DC53D6"/>
    <w:rsid w:val="556958CE"/>
    <w:rsid w:val="565900B4"/>
    <w:rsid w:val="56DA6DA2"/>
    <w:rsid w:val="58233D5B"/>
    <w:rsid w:val="58AD40BC"/>
    <w:rsid w:val="5A7250D8"/>
    <w:rsid w:val="5AB70F33"/>
    <w:rsid w:val="5AE47AEC"/>
    <w:rsid w:val="5BE54FC0"/>
    <w:rsid w:val="5C186B21"/>
    <w:rsid w:val="5C454420"/>
    <w:rsid w:val="5D290FF6"/>
    <w:rsid w:val="5E076290"/>
    <w:rsid w:val="5FD75357"/>
    <w:rsid w:val="600B7396"/>
    <w:rsid w:val="603106B6"/>
    <w:rsid w:val="61315F16"/>
    <w:rsid w:val="61456186"/>
    <w:rsid w:val="619A62A4"/>
    <w:rsid w:val="622748FE"/>
    <w:rsid w:val="624929CF"/>
    <w:rsid w:val="62884687"/>
    <w:rsid w:val="62F1781A"/>
    <w:rsid w:val="63607035"/>
    <w:rsid w:val="63D310D0"/>
    <w:rsid w:val="64860E58"/>
    <w:rsid w:val="65166522"/>
    <w:rsid w:val="66474039"/>
    <w:rsid w:val="665A16A8"/>
    <w:rsid w:val="66652B25"/>
    <w:rsid w:val="668263F5"/>
    <w:rsid w:val="670570B2"/>
    <w:rsid w:val="671C5ADF"/>
    <w:rsid w:val="672C1604"/>
    <w:rsid w:val="674634F4"/>
    <w:rsid w:val="67E46502"/>
    <w:rsid w:val="68B06CA8"/>
    <w:rsid w:val="69770CCD"/>
    <w:rsid w:val="6AC417F8"/>
    <w:rsid w:val="6AFD43A3"/>
    <w:rsid w:val="6BBC4F8C"/>
    <w:rsid w:val="6C882DA6"/>
    <w:rsid w:val="6CA46FDE"/>
    <w:rsid w:val="6FDC6093"/>
    <w:rsid w:val="70F514FF"/>
    <w:rsid w:val="71082DCD"/>
    <w:rsid w:val="73BC16C8"/>
    <w:rsid w:val="74BA3B6B"/>
    <w:rsid w:val="75484A79"/>
    <w:rsid w:val="7552187A"/>
    <w:rsid w:val="75945D96"/>
    <w:rsid w:val="76B12E30"/>
    <w:rsid w:val="76DA1B5F"/>
    <w:rsid w:val="78244C9D"/>
    <w:rsid w:val="782F591A"/>
    <w:rsid w:val="79226C23"/>
    <w:rsid w:val="798028A5"/>
    <w:rsid w:val="7A0166BB"/>
    <w:rsid w:val="7AE521E4"/>
    <w:rsid w:val="7EC138A4"/>
    <w:rsid w:val="7FD52F8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3"/>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0">
    <w:name w:val="Default Paragraph Font"/>
    <w:semiHidden/>
    <w:unhideWhenUsed/>
    <w:qFormat/>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19"/>
    <w:semiHidden/>
    <w:unhideWhenUsed/>
    <w:qFormat/>
    <w:uiPriority w:val="99"/>
    <w:pPr>
      <w:jc w:val="left"/>
    </w:pPr>
  </w:style>
  <w:style w:type="paragraph" w:styleId="4">
    <w:name w:val="Balloon Text"/>
    <w:basedOn w:val="1"/>
    <w:link w:val="21"/>
    <w:semiHidden/>
    <w:unhideWhenUsed/>
    <w:qFormat/>
    <w:uiPriority w:val="99"/>
    <w:rPr>
      <w:sz w:val="18"/>
      <w:szCs w:val="18"/>
    </w:rPr>
  </w:style>
  <w:style w:type="paragraph" w:styleId="5">
    <w:name w:val="footer"/>
    <w:basedOn w:val="1"/>
    <w:link w:val="18"/>
    <w:unhideWhenUsed/>
    <w:qFormat/>
    <w:uiPriority w:val="99"/>
    <w:pPr>
      <w:tabs>
        <w:tab w:val="center" w:pos="4153"/>
        <w:tab w:val="right" w:pos="8306"/>
      </w:tabs>
      <w:snapToGrid w:val="0"/>
      <w:jc w:val="left"/>
    </w:pPr>
    <w:rPr>
      <w:sz w:val="18"/>
      <w:szCs w:val="18"/>
    </w:rPr>
  </w:style>
  <w:style w:type="paragraph" w:styleId="6">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20"/>
    <w:semiHidden/>
    <w:unhideWhenUsed/>
    <w:qFormat/>
    <w:uiPriority w:val="99"/>
    <w:rPr>
      <w:b/>
      <w:bCs/>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Hyperlink"/>
    <w:basedOn w:val="10"/>
    <w:unhideWhenUsed/>
    <w:qFormat/>
    <w:uiPriority w:val="99"/>
    <w:rPr>
      <w:color w:val="0563C1" w:themeColor="hyperlink"/>
      <w:u w:val="single"/>
      <w14:textFill>
        <w14:solidFill>
          <w14:schemeClr w14:val="hlink"/>
        </w14:solidFill>
      </w14:textFill>
    </w:rPr>
  </w:style>
  <w:style w:type="character" w:styleId="12">
    <w:name w:val="annotation reference"/>
    <w:basedOn w:val="10"/>
    <w:semiHidden/>
    <w:unhideWhenUsed/>
    <w:qFormat/>
    <w:uiPriority w:val="99"/>
    <w:rPr>
      <w:sz w:val="21"/>
      <w:szCs w:val="21"/>
    </w:rPr>
  </w:style>
  <w:style w:type="character" w:customStyle="1" w:styleId="13">
    <w:name w:val="标题 2 Char"/>
    <w:basedOn w:val="10"/>
    <w:link w:val="2"/>
    <w:semiHidden/>
    <w:qFormat/>
    <w:uiPriority w:val="9"/>
    <w:rPr>
      <w:rFonts w:asciiTheme="majorHAnsi" w:hAnsiTheme="majorHAnsi" w:eastAsiaTheme="majorEastAsia" w:cstheme="majorBidi"/>
      <w:b/>
      <w:bCs/>
      <w:sz w:val="32"/>
      <w:szCs w:val="32"/>
    </w:rPr>
  </w:style>
  <w:style w:type="paragraph" w:styleId="14">
    <w:name w:val="List Paragraph"/>
    <w:basedOn w:val="1"/>
    <w:qFormat/>
    <w:uiPriority w:val="34"/>
    <w:pPr>
      <w:ind w:firstLine="420" w:firstLineChars="200"/>
    </w:pPr>
    <w:rPr>
      <w:rFonts w:ascii="Calibri" w:hAnsi="Calibri" w:eastAsia="宋体" w:cs="Times New Roman"/>
    </w:rPr>
  </w:style>
  <w:style w:type="paragraph" w:customStyle="1" w:styleId="15">
    <w:name w:val="申报表二级"/>
    <w:basedOn w:val="2"/>
    <w:link w:val="16"/>
    <w:qFormat/>
    <w:uiPriority w:val="0"/>
    <w:rPr>
      <w:rFonts w:ascii="黑体" w:hAnsi="黑体" w:eastAsia="黑体" w:cs="Times New Roman"/>
      <w:b w:val="0"/>
      <w:color w:val="000000"/>
      <w:sz w:val="28"/>
      <w:szCs w:val="22"/>
    </w:rPr>
  </w:style>
  <w:style w:type="character" w:customStyle="1" w:styleId="16">
    <w:name w:val="申报表二级 Char"/>
    <w:link w:val="15"/>
    <w:qFormat/>
    <w:uiPriority w:val="0"/>
    <w:rPr>
      <w:rFonts w:ascii="黑体" w:hAnsi="黑体" w:eastAsia="黑体" w:cs="Times New Roman"/>
      <w:bCs/>
      <w:color w:val="000000"/>
      <w:sz w:val="28"/>
    </w:rPr>
  </w:style>
  <w:style w:type="character" w:customStyle="1" w:styleId="17">
    <w:name w:val="页眉 Char"/>
    <w:basedOn w:val="10"/>
    <w:link w:val="6"/>
    <w:qFormat/>
    <w:uiPriority w:val="99"/>
    <w:rPr>
      <w:sz w:val="18"/>
      <w:szCs w:val="18"/>
    </w:rPr>
  </w:style>
  <w:style w:type="character" w:customStyle="1" w:styleId="18">
    <w:name w:val="页脚 Char"/>
    <w:basedOn w:val="10"/>
    <w:link w:val="5"/>
    <w:qFormat/>
    <w:uiPriority w:val="99"/>
    <w:rPr>
      <w:sz w:val="18"/>
      <w:szCs w:val="18"/>
    </w:rPr>
  </w:style>
  <w:style w:type="character" w:customStyle="1" w:styleId="19">
    <w:name w:val="批注文字 Char"/>
    <w:basedOn w:val="10"/>
    <w:link w:val="3"/>
    <w:semiHidden/>
    <w:qFormat/>
    <w:uiPriority w:val="99"/>
  </w:style>
  <w:style w:type="character" w:customStyle="1" w:styleId="20">
    <w:name w:val="批注主题 Char"/>
    <w:basedOn w:val="19"/>
    <w:link w:val="7"/>
    <w:semiHidden/>
    <w:qFormat/>
    <w:uiPriority w:val="99"/>
    <w:rPr>
      <w:b/>
      <w:bCs/>
    </w:rPr>
  </w:style>
  <w:style w:type="character" w:customStyle="1" w:styleId="21">
    <w:name w:val="批注框文本 Char"/>
    <w:basedOn w:val="10"/>
    <w:link w:val="4"/>
    <w:semiHidden/>
    <w:qFormat/>
    <w:uiPriority w:val="99"/>
    <w:rPr>
      <w:sz w:val="18"/>
      <w:szCs w:val="18"/>
    </w:rPr>
  </w:style>
  <w:style w:type="paragraph" w:customStyle="1" w:styleId="22">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3">
    <w:name w:val="明显强调1"/>
    <w:basedOn w:val="10"/>
    <w:qFormat/>
    <w:uiPriority w:val="21"/>
    <w:rPr>
      <w:b/>
      <w:bCs/>
      <w:i/>
      <w:iCs/>
      <w:color w:val="5B9BD5" w:themeColor="accent1"/>
      <w14:textFill>
        <w14:solidFill>
          <w14:schemeClr w14:val="accent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CB2EB04-32BF-48CF-AE53-71812FCA531D}">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22</Pages>
  <Words>2009</Words>
  <Characters>11452</Characters>
  <Lines>95</Lines>
  <Paragraphs>26</Paragraphs>
  <TotalTime>110</TotalTime>
  <ScaleCrop>false</ScaleCrop>
  <LinksUpToDate>false</LinksUpToDate>
  <CharactersWithSpaces>13435</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2021-05-13T04:33:00Z</dcterms:created>
  <dc:creator>王妍</dc:creator>
  <cp:lastModifiedBy>Summer.L</cp:lastModifiedBy>
  <cp:lastPrinted>2021-04-27T07:55:00Z</cp:lastPrinted>
  <dcterms:modified xsi:type="dcterms:W3CDTF">2021-05-13T08:57:58Z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ED853984D41347B2BA9F8DF0679C30DA</vt:lpwstr>
  </property>
</Properties>
</file>